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8FF3" w14:textId="2B8EC2F7" w:rsidR="00C34D2A" w:rsidRDefault="00C34D2A"/>
    <w:p w14:paraId="5606C8FC" w14:textId="550E6C0D" w:rsidR="00661696" w:rsidRPr="006B3526" w:rsidRDefault="002A38BD" w:rsidP="00661696">
      <w:pPr>
        <w:rPr>
          <w:rFonts w:ascii="Arial" w:hAnsi="Arial" w:cs="Arial"/>
          <w:b/>
          <w:bCs/>
          <w:color w:val="00AAE1"/>
          <w:sz w:val="28"/>
          <w:szCs w:val="28"/>
        </w:rPr>
      </w:pPr>
      <w:bookmarkStart w:id="0" w:name="_Hlk76048206"/>
      <w:bookmarkEnd w:id="0"/>
      <w:r>
        <w:rPr>
          <w:rFonts w:ascii="Arial" w:hAnsi="Arial" w:cs="Arial"/>
          <w:noProof/>
          <w:color w:val="737373"/>
        </w:rPr>
        <w:drawing>
          <wp:anchor distT="0" distB="0" distL="114300" distR="114300" simplePos="0" relativeHeight="251660288" behindDoc="0" locked="0" layoutInCell="1" allowOverlap="1" wp14:anchorId="7835F521" wp14:editId="6033E506">
            <wp:simplePos x="0" y="0"/>
            <wp:positionH relativeFrom="column">
              <wp:posOffset>3571336</wp:posOffset>
            </wp:positionH>
            <wp:positionV relativeFrom="paragraph">
              <wp:posOffset>7404</wp:posOffset>
            </wp:positionV>
            <wp:extent cx="3065611" cy="2622431"/>
            <wp:effectExtent l="0" t="0" r="1905"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0_QE_TITEL_GESCHLOSSEN_RZ.jpg"/>
                    <pic:cNvPicPr/>
                  </pic:nvPicPr>
                  <pic:blipFill rotWithShape="1">
                    <a:blip r:embed="rId10" cstate="print">
                      <a:extLst>
                        <a:ext uri="{28A0092B-C50C-407E-A947-70E740481C1C}">
                          <a14:useLocalDpi xmlns:a14="http://schemas.microsoft.com/office/drawing/2010/main" val="0"/>
                        </a:ext>
                      </a:extLst>
                    </a:blip>
                    <a:srcRect l="27221" t="30980" r="27308" b="8875"/>
                    <a:stretch/>
                  </pic:blipFill>
                  <pic:spPr bwMode="auto">
                    <a:xfrm>
                      <a:off x="0" y="0"/>
                      <a:ext cx="3076018" cy="26313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1696">
        <w:rPr>
          <w:noProof/>
        </w:rPr>
        <mc:AlternateContent>
          <mc:Choice Requires="wps">
            <w:drawing>
              <wp:anchor distT="0" distB="0" distL="114300" distR="114300" simplePos="0" relativeHeight="251658240" behindDoc="0" locked="0" layoutInCell="1" allowOverlap="1" wp14:anchorId="1EF5C5AB" wp14:editId="7D7FDE01">
                <wp:simplePos x="0" y="0"/>
                <wp:positionH relativeFrom="margin">
                  <wp:posOffset>3568535</wp:posOffset>
                </wp:positionH>
                <wp:positionV relativeFrom="paragraph">
                  <wp:posOffset>8808</wp:posOffset>
                </wp:positionV>
                <wp:extent cx="3074670" cy="2270760"/>
                <wp:effectExtent l="0" t="0" r="3175" b="0"/>
                <wp:wrapSquare wrapText="bothSides"/>
                <wp:docPr id="7" name="Zone de texte 7"/>
                <wp:cNvGraphicFramePr/>
                <a:graphic xmlns:a="http://schemas.openxmlformats.org/drawingml/2006/main">
                  <a:graphicData uri="http://schemas.microsoft.com/office/word/2010/wordprocessingShape">
                    <wps:wsp>
                      <wps:cNvSpPr txBox="1"/>
                      <wps:spPr>
                        <a:xfrm>
                          <a:off x="0" y="0"/>
                          <a:ext cx="3074670" cy="2270760"/>
                        </a:xfrm>
                        <a:prstGeom prst="rect">
                          <a:avLst/>
                        </a:prstGeom>
                        <a:solidFill>
                          <a:schemeClr val="bg2"/>
                        </a:solidFill>
                        <a:ln w="6350">
                          <a:noFill/>
                        </a:ln>
                      </wps:spPr>
                      <wps:txbx>
                        <w:txbxContent>
                          <w:p w14:paraId="78BF2961" w14:textId="0E22AE75" w:rsidR="00661696" w:rsidRPr="006B3526" w:rsidRDefault="00661696" w:rsidP="00661696">
                            <w:pPr>
                              <w:rPr>
                                <w:rFonts w:ascii="Arial" w:hAnsi="Arial" w:cs="Arial"/>
                                <w:color w:val="737373"/>
                              </w:rPr>
                            </w:pPr>
                            <w:bookmarkStart w:id="1" w:name="_Hlk76048292"/>
                            <w:bookmarkEnd w:id="1"/>
                            <w:r w:rsidRPr="006B3526">
                              <w:rPr>
                                <w:rFonts w:ascii="Arial" w:hAnsi="Arial" w:cs="Arial"/>
                                <w:color w:val="737373"/>
                              </w:rPr>
                              <w:t>Visuel du produit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5C5AB" id="_x0000_t202" coordsize="21600,21600" o:spt="202" path="m,l,21600r21600,l21600,xe">
                <v:stroke joinstyle="miter"/>
                <v:path gradientshapeok="t" o:connecttype="rect"/>
              </v:shapetype>
              <v:shape id="Zone de texte 7" o:spid="_x0000_s1026" type="#_x0000_t202" style="position:absolute;margin-left:281pt;margin-top:.7pt;width:242.1pt;height:17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HELwIAAFUEAAAOAAAAZHJzL2Uyb0RvYy54bWysVEtv2zAMvg/YfxB0X+y4adIZcYosRYYB&#10;RVsgHXpWZCk2IIuapMTOfv0o2Xms22nYRSZFio/vIz2/7xpFDsK6GnRBx6OUEqE5lLXeFfT76/rT&#10;HSXOM10yBVoU9CgcvV98/DBvTS4yqECVwhIMol3emoJW3ps8SRyvRMPcCIzQaJRgG+ZRtbuktKzF&#10;6I1KsjSdJi3Y0ljgwjm8feiNdBHjSym4f5bSCU9UQbE2H08bz204k8Wc5TvLTFXzoQz2D1U0rNaY&#10;9BzqgXlG9rb+I1RTcwsOpB9xaBKQsuYi9oDdjNN33WwqZkTsBcFx5gyT+39h+dNhY14s8d0X6JDA&#10;AEhrXO7wMvTTSduEL1ZK0I4QHs+wic4Tjpc36WwynaGJoy3LZulsGoFNLs+Ndf6rgIYEoaAWeYlw&#10;scOj85gSXU8uIZsDVZfrWqmohFkQK2XJgSGL210WisQXv3kpTdqCTm9u0xhYQ3je+ymN7pemguS7&#10;bTd0uoXyiABY6GfDGb6uschH5vwLszgM2BgOuH/GQyrAJDBIlFRgf/7tPvgjR2ilpMXhKqj7sWdW&#10;UKK+aWTv83gyCdMYlcntLEPFXlu21xa9b1aAnY9xlQyPYvD36iRKC80b7sEyZEUT0xxzF9SfxJXv&#10;Rx73iIvlMjrh/BnmH/XG8BA6IB0oeO3emDUDTx4pfoLTGLL8HV29b3ipYbn3IOvIZQC4R3XAHWc3&#10;EjbsWViOaz16Xf4Gi18AAAD//wMAUEsDBBQABgAIAAAAIQDPfVzA3wAAAAoBAAAPAAAAZHJzL2Rv&#10;d25yZXYueG1sTI9BS8NAEIXvgv9hGcGb3XXbBo3ZFFGkIEgx9eJtmoxJNDsbdrdt9Ne7Pelx+Ib3&#10;vlesJjuIA/nQOzZwPVMgiGvX9NwaeNs+Xd2ACBG5wcExGfimAKvy/KzAvHFHfqVDFVuRQjjkaKCL&#10;ccylDHVHFsPMjcSJfThvMabTt7LxeEzhdpBaqUxa7Dk1dDjSQ0f1V7W3Bt79BkP9Gar1ttWE+mX9&#10;8/w4N+byYrq/AxFpin/PcNJP6lAmp53bcxPEYGCZ6bQlJrAAceJqkWkQOwPz5a0CWRby/4TyFwAA&#10;//8DAFBLAQItABQABgAIAAAAIQC2gziS/gAAAOEBAAATAAAAAAAAAAAAAAAAAAAAAABbQ29udGVu&#10;dF9UeXBlc10ueG1sUEsBAi0AFAAGAAgAAAAhADj9If/WAAAAlAEAAAsAAAAAAAAAAAAAAAAALwEA&#10;AF9yZWxzLy5yZWxzUEsBAi0AFAAGAAgAAAAhAJ3E8cQvAgAAVQQAAA4AAAAAAAAAAAAAAAAALgIA&#10;AGRycy9lMm9Eb2MueG1sUEsBAi0AFAAGAAgAAAAhAM99XMDfAAAACgEAAA8AAAAAAAAAAAAAAAAA&#10;iQQAAGRycy9kb3ducmV2LnhtbFBLBQYAAAAABAAEAPMAAACVBQAAAAA=&#10;" fillcolor="#eeece1 [3214]" stroked="f" strokeweight=".5pt">
                <v:textbox>
                  <w:txbxContent>
                    <w:p w14:paraId="78BF2961" w14:textId="0E22AE75" w:rsidR="00661696" w:rsidRPr="006B3526" w:rsidRDefault="00661696" w:rsidP="00661696">
                      <w:pPr>
                        <w:rPr>
                          <w:rFonts w:ascii="Arial" w:hAnsi="Arial" w:cs="Arial"/>
                          <w:color w:val="737373"/>
                        </w:rPr>
                      </w:pPr>
                      <w:bookmarkStart w:id="2" w:name="_Hlk76048292"/>
                      <w:bookmarkEnd w:id="2"/>
                      <w:r w:rsidRPr="006B3526">
                        <w:rPr>
                          <w:rFonts w:ascii="Arial" w:hAnsi="Arial" w:cs="Arial"/>
                          <w:color w:val="737373"/>
                        </w:rPr>
                        <w:t>Visuel du produit</w:t>
                      </w:r>
                    </w:p>
                  </w:txbxContent>
                </v:textbox>
                <w10:wrap type="square" anchorx="margin"/>
              </v:shape>
            </w:pict>
          </mc:Fallback>
        </mc:AlternateContent>
      </w:r>
      <w:r w:rsidR="00661696" w:rsidRPr="006B3526">
        <w:rPr>
          <w:rFonts w:ascii="Arial" w:hAnsi="Arial" w:cs="Arial"/>
          <w:b/>
          <w:bCs/>
          <w:color w:val="00AAE1"/>
          <w:sz w:val="28"/>
          <w:szCs w:val="28"/>
        </w:rPr>
        <w:t xml:space="preserve">Description </w:t>
      </w:r>
      <w:r w:rsidR="009D0ABE">
        <w:rPr>
          <w:rFonts w:ascii="Arial" w:hAnsi="Arial" w:cs="Arial"/>
          <w:b/>
          <w:bCs/>
          <w:color w:val="00AAE1"/>
          <w:sz w:val="28"/>
          <w:szCs w:val="28"/>
        </w:rPr>
        <w:t>gamme</w:t>
      </w:r>
      <w:r w:rsidR="006402C9">
        <w:rPr>
          <w:rFonts w:ascii="Arial" w:hAnsi="Arial" w:cs="Arial"/>
          <w:b/>
          <w:bCs/>
          <w:color w:val="00AAE1"/>
          <w:sz w:val="28"/>
          <w:szCs w:val="28"/>
        </w:rPr>
        <w:t xml:space="preserve"> </w:t>
      </w:r>
      <w:proofErr w:type="spellStart"/>
      <w:r w:rsidR="006402C9">
        <w:rPr>
          <w:rFonts w:ascii="Arial" w:hAnsi="Arial" w:cs="Arial"/>
          <w:b/>
          <w:bCs/>
          <w:color w:val="00AAE1"/>
          <w:sz w:val="28"/>
          <w:szCs w:val="28"/>
        </w:rPr>
        <w:t>quadro</w:t>
      </w:r>
      <w:proofErr w:type="spellEnd"/>
      <w:r w:rsidR="006402C9">
        <w:rPr>
          <w:rFonts w:ascii="Arial" w:hAnsi="Arial" w:cs="Arial"/>
          <w:b/>
          <w:bCs/>
          <w:color w:val="00AAE1"/>
          <w:sz w:val="28"/>
          <w:szCs w:val="28"/>
        </w:rPr>
        <w:t xml:space="preserve"> </w:t>
      </w:r>
      <w:proofErr w:type="spellStart"/>
      <w:r w:rsidR="006402C9">
        <w:rPr>
          <w:rFonts w:ascii="Arial" w:hAnsi="Arial" w:cs="Arial"/>
          <w:b/>
          <w:bCs/>
          <w:color w:val="00AAE1"/>
          <w:sz w:val="28"/>
          <w:szCs w:val="28"/>
        </w:rPr>
        <w:t>evo</w:t>
      </w:r>
      <w:proofErr w:type="spellEnd"/>
    </w:p>
    <w:p w14:paraId="3EFC3B59" w14:textId="3C10EF80" w:rsidR="006402C9" w:rsidRPr="005E58CA" w:rsidRDefault="006402C9" w:rsidP="006402C9">
      <w:pPr>
        <w:rPr>
          <w:rFonts w:ascii="Arial" w:hAnsi="Arial" w:cs="Arial"/>
          <w:color w:val="737373"/>
        </w:rPr>
      </w:pPr>
      <w:r w:rsidRPr="005E58CA">
        <w:rPr>
          <w:rFonts w:ascii="Arial" w:hAnsi="Arial" w:cs="Arial"/>
          <w:color w:val="737373"/>
        </w:rPr>
        <w:t xml:space="preserve">Le </w:t>
      </w:r>
      <w:r w:rsidR="00574C66" w:rsidRPr="005E58CA">
        <w:rPr>
          <w:rFonts w:ascii="Arial" w:hAnsi="Arial" w:cs="Arial"/>
          <w:color w:val="737373"/>
        </w:rPr>
        <w:t>s</w:t>
      </w:r>
      <w:r w:rsidRPr="005E58CA">
        <w:rPr>
          <w:rFonts w:ascii="Arial" w:hAnsi="Arial" w:cs="Arial"/>
          <w:color w:val="737373"/>
        </w:rPr>
        <w:t xml:space="preserve">ystème de distribution d'énergie </w:t>
      </w:r>
      <w:proofErr w:type="spellStart"/>
      <w:r w:rsidRPr="005E58CA">
        <w:rPr>
          <w:rFonts w:ascii="Arial" w:hAnsi="Arial" w:cs="Arial"/>
          <w:color w:val="737373"/>
        </w:rPr>
        <w:t>quadro</w:t>
      </w:r>
      <w:proofErr w:type="spellEnd"/>
      <w:r w:rsidRPr="005E58CA">
        <w:rPr>
          <w:rFonts w:ascii="Arial" w:hAnsi="Arial" w:cs="Arial"/>
          <w:color w:val="737373"/>
        </w:rPr>
        <w:t xml:space="preserve"> </w:t>
      </w:r>
      <w:proofErr w:type="spellStart"/>
      <w:r w:rsidRPr="005E58CA">
        <w:rPr>
          <w:rFonts w:ascii="Arial" w:hAnsi="Arial" w:cs="Arial"/>
          <w:color w:val="737373"/>
        </w:rPr>
        <w:t>evo</w:t>
      </w:r>
      <w:proofErr w:type="spellEnd"/>
      <w:r w:rsidRPr="005E58CA">
        <w:rPr>
          <w:rFonts w:ascii="Arial" w:hAnsi="Arial" w:cs="Arial"/>
          <w:color w:val="737373"/>
        </w:rPr>
        <w:t xml:space="preserve"> est un ensemble d’appareillages de puissance testé et certifié selon la norme IEC 61439-1 &amp; 2.</w:t>
      </w:r>
    </w:p>
    <w:p w14:paraId="5298C439" w14:textId="2C8A0CD4" w:rsidR="006402C9" w:rsidRPr="005E58CA" w:rsidRDefault="006402C9" w:rsidP="006402C9">
      <w:pPr>
        <w:rPr>
          <w:rFonts w:ascii="Arial" w:hAnsi="Arial" w:cs="Arial"/>
          <w:color w:val="737373"/>
        </w:rPr>
      </w:pPr>
      <w:r w:rsidRPr="005E58CA">
        <w:rPr>
          <w:rFonts w:ascii="Arial" w:hAnsi="Arial" w:cs="Arial"/>
          <w:color w:val="737373"/>
        </w:rPr>
        <w:t>Le Système permet la réalisation d'équipements de distribution basse tension pouvant aller jusqu'à 4000A en forme 4b, pour des applications tertiaires (locaux commerciaux, hôtels,</w:t>
      </w:r>
      <w:r w:rsidRPr="005E58CA">
        <w:rPr>
          <w:rFonts w:ascii="Arial" w:hAnsi="Arial" w:cs="Arial"/>
          <w:color w:val="737373"/>
        </w:rPr>
        <w:tab/>
        <w:t>bâtiments administratifs, publics ou privés, industriels, hôpitaux, infrastructures routières et ferroviaires).</w:t>
      </w:r>
    </w:p>
    <w:p w14:paraId="43DC033E" w14:textId="3AA3450E" w:rsidR="00661696" w:rsidRPr="005E58CA" w:rsidRDefault="006402C9" w:rsidP="006402C9">
      <w:pPr>
        <w:rPr>
          <w:color w:val="737373"/>
        </w:rPr>
      </w:pPr>
      <w:r w:rsidRPr="005E58CA">
        <w:rPr>
          <w:rFonts w:ascii="Arial" w:hAnsi="Arial" w:cs="Arial"/>
          <w:color w:val="737373"/>
        </w:rPr>
        <w:t xml:space="preserve">Ce système de distribution d'énergie est adapté pour réaliser des </w:t>
      </w:r>
      <w:proofErr w:type="spellStart"/>
      <w:r w:rsidRPr="005E58CA">
        <w:rPr>
          <w:rFonts w:ascii="Arial" w:hAnsi="Arial" w:cs="Arial"/>
          <w:color w:val="737373"/>
        </w:rPr>
        <w:t>TGBT</w:t>
      </w:r>
      <w:r w:rsidR="009939D4" w:rsidRPr="005E58CA">
        <w:rPr>
          <w:rFonts w:ascii="Arial" w:hAnsi="Arial" w:cs="Arial"/>
          <w:color w:val="737373"/>
        </w:rPr>
        <w:t>s</w:t>
      </w:r>
      <w:proofErr w:type="spellEnd"/>
      <w:r w:rsidRPr="005E58CA">
        <w:rPr>
          <w:rFonts w:ascii="Arial" w:hAnsi="Arial" w:cs="Arial"/>
          <w:color w:val="737373"/>
        </w:rPr>
        <w:t xml:space="preserve"> ainsi que des tableaux divisionnaires.</w:t>
      </w:r>
    </w:p>
    <w:p w14:paraId="09A74125" w14:textId="61274587" w:rsidR="002A38BD" w:rsidRPr="005E58CA" w:rsidRDefault="00206DAD" w:rsidP="00661696">
      <w:pPr>
        <w:rPr>
          <w:rFonts w:ascii="Arial" w:hAnsi="Arial" w:cs="Arial"/>
          <w:color w:val="737373"/>
        </w:rPr>
      </w:pPr>
      <w:r w:rsidRPr="005E58CA">
        <w:rPr>
          <w:rFonts w:ascii="Arial" w:hAnsi="Arial" w:cs="Arial"/>
          <w:color w:val="737373"/>
        </w:rPr>
        <w:t>Structure des</w:t>
      </w:r>
      <w:r w:rsidR="00FA15B1" w:rsidRPr="005E58CA">
        <w:rPr>
          <w:rFonts w:ascii="Arial" w:hAnsi="Arial" w:cs="Arial"/>
          <w:color w:val="737373"/>
        </w:rPr>
        <w:t xml:space="preserve"> </w:t>
      </w:r>
      <w:r w:rsidR="00661696" w:rsidRPr="005E58CA">
        <w:rPr>
          <w:rFonts w:ascii="Arial" w:hAnsi="Arial" w:cs="Arial"/>
          <w:color w:val="737373"/>
        </w:rPr>
        <w:t>Référence</w:t>
      </w:r>
      <w:r w:rsidR="00FA15B1" w:rsidRPr="005E58CA">
        <w:rPr>
          <w:rFonts w:ascii="Arial" w:hAnsi="Arial" w:cs="Arial"/>
          <w:color w:val="737373"/>
        </w:rPr>
        <w:t>s</w:t>
      </w:r>
      <w:r w:rsidR="00661696" w:rsidRPr="005E58CA">
        <w:rPr>
          <w:rFonts w:ascii="Arial" w:hAnsi="Arial" w:cs="Arial"/>
          <w:color w:val="737373"/>
        </w:rPr>
        <w:t xml:space="preserve"> : </w:t>
      </w:r>
    </w:p>
    <w:p w14:paraId="064EE8B5" w14:textId="47E441C1" w:rsidR="002A38BD" w:rsidRPr="005E58CA" w:rsidRDefault="002A38BD" w:rsidP="002A38BD">
      <w:pPr>
        <w:pStyle w:val="Paragraphedeliste"/>
        <w:numPr>
          <w:ilvl w:val="0"/>
          <w:numId w:val="3"/>
        </w:numPr>
        <w:rPr>
          <w:rFonts w:ascii="Arial" w:hAnsi="Arial" w:cs="Arial"/>
          <w:color w:val="737373"/>
        </w:rPr>
      </w:pPr>
      <w:proofErr w:type="spellStart"/>
      <w:r w:rsidRPr="005E58CA">
        <w:rPr>
          <w:rFonts w:ascii="Arial" w:hAnsi="Arial" w:cs="Arial"/>
          <w:color w:val="737373"/>
        </w:rPr>
        <w:t>FNxxxx</w:t>
      </w:r>
      <w:proofErr w:type="spellEnd"/>
      <w:r w:rsidRPr="005E58CA">
        <w:rPr>
          <w:rFonts w:ascii="Arial" w:hAnsi="Arial" w:cs="Arial"/>
          <w:color w:val="737373"/>
        </w:rPr>
        <w:t> : structure et habillage des cellules</w:t>
      </w:r>
    </w:p>
    <w:p w14:paraId="28C52F61" w14:textId="02430F47" w:rsidR="002A38BD" w:rsidRPr="005E58CA" w:rsidRDefault="002A38BD" w:rsidP="009939D4">
      <w:pPr>
        <w:pStyle w:val="Paragraphedeliste"/>
        <w:numPr>
          <w:ilvl w:val="0"/>
          <w:numId w:val="3"/>
        </w:numPr>
        <w:rPr>
          <w:rFonts w:ascii="Arial" w:hAnsi="Arial" w:cs="Arial"/>
          <w:color w:val="737373"/>
        </w:rPr>
      </w:pPr>
      <w:proofErr w:type="spellStart"/>
      <w:r w:rsidRPr="005E58CA">
        <w:rPr>
          <w:rFonts w:ascii="Arial" w:hAnsi="Arial" w:cs="Arial"/>
          <w:color w:val="737373"/>
        </w:rPr>
        <w:t>UCxxxx</w:t>
      </w:r>
      <w:proofErr w:type="spellEnd"/>
      <w:r w:rsidRPr="005E58CA">
        <w:rPr>
          <w:rFonts w:ascii="Arial" w:hAnsi="Arial" w:cs="Arial"/>
          <w:color w:val="737373"/>
        </w:rPr>
        <w:t> : équipement interne des cellules</w:t>
      </w:r>
    </w:p>
    <w:p w14:paraId="55B4B23F" w14:textId="77777777" w:rsidR="00661696" w:rsidRDefault="00661696"/>
    <w:p w14:paraId="102707E9" w14:textId="40490176" w:rsidR="00661696" w:rsidRPr="006B3526" w:rsidRDefault="00661696" w:rsidP="00661696">
      <w:pPr>
        <w:rPr>
          <w:rFonts w:ascii="Arial" w:hAnsi="Arial" w:cs="Arial"/>
          <w:b/>
          <w:bCs/>
          <w:color w:val="00AAE1"/>
          <w:sz w:val="28"/>
          <w:szCs w:val="28"/>
        </w:rPr>
      </w:pPr>
      <w:r w:rsidRPr="006B3526">
        <w:rPr>
          <w:rFonts w:ascii="Arial" w:hAnsi="Arial" w:cs="Arial"/>
          <w:b/>
          <w:bCs/>
          <w:color w:val="00AAE1"/>
          <w:sz w:val="28"/>
          <w:szCs w:val="28"/>
        </w:rPr>
        <w:t xml:space="preserve">Caractéristiques </w:t>
      </w:r>
      <w:r w:rsidR="00CF57EF">
        <w:rPr>
          <w:rFonts w:ascii="Arial" w:hAnsi="Arial" w:cs="Arial"/>
          <w:b/>
          <w:bCs/>
          <w:color w:val="00AAE1"/>
          <w:sz w:val="28"/>
          <w:szCs w:val="28"/>
        </w:rPr>
        <w:t>mécaniques</w:t>
      </w:r>
    </w:p>
    <w:tbl>
      <w:tblPr>
        <w:tblStyle w:val="Grilledutableau"/>
        <w:tblpPr w:leftFromText="141" w:rightFromText="141" w:vertAnchor="text" w:horzAnchor="margin" w:tblpX="250" w:tblpY="106"/>
        <w:tblW w:w="10294" w:type="dxa"/>
        <w:tblBorders>
          <w:left w:val="none" w:sz="0" w:space="0" w:color="auto"/>
          <w:right w:val="none" w:sz="0" w:space="0" w:color="auto"/>
        </w:tblBorders>
        <w:tblLook w:val="04A0" w:firstRow="1" w:lastRow="0" w:firstColumn="1" w:lastColumn="0" w:noHBand="0" w:noVBand="1"/>
      </w:tblPr>
      <w:tblGrid>
        <w:gridCol w:w="3686"/>
        <w:gridCol w:w="6608"/>
      </w:tblGrid>
      <w:tr w:rsidR="00661696" w:rsidRPr="009939D4" w14:paraId="4FBF8724" w14:textId="77777777" w:rsidTr="007479E3">
        <w:trPr>
          <w:trHeight w:hRule="exact" w:val="719"/>
        </w:trPr>
        <w:tc>
          <w:tcPr>
            <w:tcW w:w="3686" w:type="dxa"/>
          </w:tcPr>
          <w:p w14:paraId="44673423" w14:textId="79CE2129" w:rsidR="00661696" w:rsidRPr="009939D4" w:rsidRDefault="009939D4" w:rsidP="00661696">
            <w:pPr>
              <w:rPr>
                <w:rFonts w:ascii="Arial" w:hAnsi="Arial" w:cs="Arial"/>
                <w:sz w:val="18"/>
                <w:szCs w:val="16"/>
              </w:rPr>
            </w:pPr>
            <w:r w:rsidRPr="009939D4">
              <w:rPr>
                <w:rFonts w:ascii="Arial" w:hAnsi="Arial" w:cs="Arial"/>
                <w:sz w:val="18"/>
                <w:szCs w:val="16"/>
              </w:rPr>
              <w:t>Matière</w:t>
            </w:r>
          </w:p>
        </w:tc>
        <w:tc>
          <w:tcPr>
            <w:tcW w:w="6608" w:type="dxa"/>
          </w:tcPr>
          <w:p w14:paraId="7039CAF9" w14:textId="0CB00B74" w:rsidR="009939D4" w:rsidRDefault="009939D4" w:rsidP="007479E3">
            <w:pPr>
              <w:spacing w:after="0"/>
              <w:rPr>
                <w:rFonts w:ascii="Arial" w:hAnsi="Arial" w:cs="Arial"/>
                <w:sz w:val="18"/>
                <w:szCs w:val="16"/>
              </w:rPr>
            </w:pPr>
            <w:r w:rsidRPr="009939D4">
              <w:rPr>
                <w:rFonts w:ascii="Arial" w:hAnsi="Arial" w:cs="Arial"/>
                <w:sz w:val="18"/>
                <w:szCs w:val="16"/>
              </w:rPr>
              <w:t>tôle  métallique  (acier) Revêtement peinture</w:t>
            </w:r>
            <w:r>
              <w:rPr>
                <w:rFonts w:ascii="Arial" w:hAnsi="Arial" w:cs="Arial"/>
                <w:sz w:val="18"/>
                <w:szCs w:val="16"/>
              </w:rPr>
              <w:t xml:space="preserve"> RAL9010 (blanc)</w:t>
            </w:r>
            <w:r w:rsidRPr="009939D4">
              <w:rPr>
                <w:rFonts w:ascii="Arial" w:hAnsi="Arial" w:cs="Arial"/>
                <w:sz w:val="18"/>
                <w:szCs w:val="16"/>
              </w:rPr>
              <w:t xml:space="preserve"> par cataphorèse polymérisée</w:t>
            </w:r>
            <w:r w:rsidR="00574C66">
              <w:rPr>
                <w:rFonts w:ascii="Arial" w:hAnsi="Arial" w:cs="Arial"/>
                <w:sz w:val="18"/>
                <w:szCs w:val="16"/>
              </w:rPr>
              <w:t xml:space="preserve"> </w:t>
            </w:r>
            <w:r w:rsidRPr="009939D4">
              <w:rPr>
                <w:rFonts w:ascii="Arial" w:hAnsi="Arial" w:cs="Arial"/>
                <w:sz w:val="18"/>
                <w:szCs w:val="16"/>
              </w:rPr>
              <w:t xml:space="preserve">à chaud (revêtement poudre </w:t>
            </w:r>
            <w:proofErr w:type="spellStart"/>
            <w:r w:rsidRPr="009939D4">
              <w:rPr>
                <w:rFonts w:ascii="Arial" w:hAnsi="Arial" w:cs="Arial"/>
                <w:sz w:val="18"/>
                <w:szCs w:val="16"/>
              </w:rPr>
              <w:t>epoxy</w:t>
            </w:r>
            <w:proofErr w:type="spellEnd"/>
            <w:r w:rsidRPr="009939D4">
              <w:rPr>
                <w:rFonts w:ascii="Arial" w:hAnsi="Arial" w:cs="Arial"/>
                <w:sz w:val="18"/>
                <w:szCs w:val="16"/>
              </w:rPr>
              <w:t xml:space="preserve"> polyester)</w:t>
            </w:r>
          </w:p>
          <w:p w14:paraId="4647E8EC" w14:textId="2CBD2B7B" w:rsidR="00661696" w:rsidRPr="009939D4" w:rsidRDefault="009939D4" w:rsidP="007479E3">
            <w:pPr>
              <w:spacing w:after="0"/>
              <w:rPr>
                <w:rFonts w:ascii="Arial" w:hAnsi="Arial" w:cs="Arial"/>
                <w:sz w:val="18"/>
                <w:szCs w:val="16"/>
              </w:rPr>
            </w:pPr>
            <w:r w:rsidRPr="009939D4">
              <w:rPr>
                <w:rFonts w:ascii="Arial" w:hAnsi="Arial" w:cs="Arial"/>
                <w:sz w:val="18"/>
                <w:szCs w:val="16"/>
              </w:rPr>
              <w:t>Pièces non peintes (ex : platines internes) acier galvanisé</w:t>
            </w:r>
          </w:p>
        </w:tc>
      </w:tr>
      <w:tr w:rsidR="00661696" w:rsidRPr="009939D4" w14:paraId="57DA35F4" w14:textId="77777777" w:rsidTr="009939D4">
        <w:trPr>
          <w:trHeight w:hRule="exact" w:val="284"/>
        </w:trPr>
        <w:tc>
          <w:tcPr>
            <w:tcW w:w="3686" w:type="dxa"/>
          </w:tcPr>
          <w:p w14:paraId="01B04F04" w14:textId="78F0BD2E" w:rsidR="00661696" w:rsidRPr="009939D4" w:rsidRDefault="009939D4" w:rsidP="00661696">
            <w:pPr>
              <w:rPr>
                <w:rFonts w:ascii="Arial" w:hAnsi="Arial" w:cs="Arial"/>
                <w:sz w:val="18"/>
                <w:szCs w:val="16"/>
              </w:rPr>
            </w:pPr>
            <w:r>
              <w:rPr>
                <w:rFonts w:ascii="Arial" w:hAnsi="Arial" w:cs="Arial"/>
                <w:sz w:val="18"/>
                <w:szCs w:val="16"/>
              </w:rPr>
              <w:t>Lieu de pose</w:t>
            </w:r>
          </w:p>
        </w:tc>
        <w:tc>
          <w:tcPr>
            <w:tcW w:w="6608" w:type="dxa"/>
          </w:tcPr>
          <w:p w14:paraId="63D4053F" w14:textId="0D5C3D85" w:rsidR="00661696" w:rsidRPr="009939D4" w:rsidRDefault="009939D4" w:rsidP="007479E3">
            <w:pPr>
              <w:spacing w:after="0"/>
              <w:rPr>
                <w:rFonts w:ascii="Arial" w:hAnsi="Arial" w:cs="Arial"/>
                <w:sz w:val="18"/>
                <w:szCs w:val="16"/>
              </w:rPr>
            </w:pPr>
            <w:r>
              <w:rPr>
                <w:rFonts w:ascii="Arial" w:hAnsi="Arial" w:cs="Arial"/>
                <w:sz w:val="18"/>
                <w:szCs w:val="16"/>
              </w:rPr>
              <w:t>Intérieur des bâtiments</w:t>
            </w:r>
          </w:p>
        </w:tc>
      </w:tr>
      <w:tr w:rsidR="00661696" w:rsidRPr="009939D4" w14:paraId="462DB9A2" w14:textId="77777777" w:rsidTr="007479E3">
        <w:trPr>
          <w:trHeight w:hRule="exact" w:val="708"/>
        </w:trPr>
        <w:tc>
          <w:tcPr>
            <w:tcW w:w="3686" w:type="dxa"/>
          </w:tcPr>
          <w:p w14:paraId="6954A9FB" w14:textId="1D6850A9" w:rsidR="00661696" w:rsidRPr="009939D4" w:rsidRDefault="007479E3" w:rsidP="00661696">
            <w:pPr>
              <w:rPr>
                <w:rFonts w:ascii="Arial" w:hAnsi="Arial" w:cs="Arial"/>
                <w:sz w:val="18"/>
                <w:szCs w:val="16"/>
              </w:rPr>
            </w:pPr>
            <w:r w:rsidRPr="009939D4">
              <w:rPr>
                <w:rFonts w:ascii="Arial" w:hAnsi="Arial" w:cs="Arial"/>
                <w:sz w:val="18"/>
                <w:szCs w:val="16"/>
              </w:rPr>
              <w:t>Indice de protection</w:t>
            </w:r>
          </w:p>
        </w:tc>
        <w:tc>
          <w:tcPr>
            <w:tcW w:w="6608" w:type="dxa"/>
          </w:tcPr>
          <w:p w14:paraId="15173208" w14:textId="77777777" w:rsidR="007479E3" w:rsidRDefault="007479E3" w:rsidP="007479E3">
            <w:pPr>
              <w:spacing w:after="0"/>
              <w:rPr>
                <w:rFonts w:ascii="Arial" w:hAnsi="Arial" w:cs="Arial"/>
                <w:sz w:val="18"/>
                <w:szCs w:val="16"/>
              </w:rPr>
            </w:pPr>
            <w:r w:rsidRPr="009939D4">
              <w:rPr>
                <w:rFonts w:ascii="Arial" w:hAnsi="Arial" w:cs="Arial"/>
                <w:sz w:val="18"/>
                <w:szCs w:val="16"/>
              </w:rPr>
              <w:t>IP30 avec plastrons</w:t>
            </w:r>
          </w:p>
          <w:p w14:paraId="09BA9F16" w14:textId="77777777" w:rsidR="007479E3" w:rsidRDefault="007479E3" w:rsidP="007479E3">
            <w:pPr>
              <w:spacing w:after="0"/>
              <w:rPr>
                <w:rFonts w:ascii="Arial" w:hAnsi="Arial" w:cs="Arial"/>
                <w:sz w:val="18"/>
                <w:szCs w:val="16"/>
              </w:rPr>
            </w:pPr>
            <w:r w:rsidRPr="009939D4">
              <w:rPr>
                <w:rFonts w:ascii="Arial" w:hAnsi="Arial" w:cs="Arial"/>
                <w:sz w:val="18"/>
                <w:szCs w:val="16"/>
              </w:rPr>
              <w:t>IP43 avec système à portes partielles</w:t>
            </w:r>
          </w:p>
          <w:p w14:paraId="7009E1F0" w14:textId="5775BAF9" w:rsidR="00661696" w:rsidRPr="009939D4" w:rsidRDefault="007479E3" w:rsidP="007479E3">
            <w:pPr>
              <w:spacing w:after="0"/>
              <w:rPr>
                <w:rFonts w:ascii="Arial" w:hAnsi="Arial" w:cs="Arial"/>
                <w:sz w:val="18"/>
                <w:szCs w:val="16"/>
              </w:rPr>
            </w:pPr>
            <w:r w:rsidRPr="009939D4">
              <w:rPr>
                <w:rFonts w:ascii="Arial" w:hAnsi="Arial" w:cs="Arial"/>
                <w:sz w:val="18"/>
                <w:szCs w:val="16"/>
              </w:rPr>
              <w:t>IP55 avec plastrons et porte pleine ou transparente</w:t>
            </w:r>
          </w:p>
        </w:tc>
      </w:tr>
      <w:tr w:rsidR="00661696" w:rsidRPr="009939D4" w14:paraId="1D9039A4" w14:textId="77777777" w:rsidTr="007479E3">
        <w:trPr>
          <w:trHeight w:hRule="exact" w:val="704"/>
        </w:trPr>
        <w:tc>
          <w:tcPr>
            <w:tcW w:w="3686" w:type="dxa"/>
          </w:tcPr>
          <w:p w14:paraId="63376905" w14:textId="5D748315" w:rsidR="00661696" w:rsidRPr="009939D4" w:rsidRDefault="007479E3" w:rsidP="00661696">
            <w:pPr>
              <w:rPr>
                <w:rFonts w:ascii="Arial" w:hAnsi="Arial" w:cs="Arial"/>
                <w:sz w:val="18"/>
                <w:szCs w:val="16"/>
              </w:rPr>
            </w:pPr>
            <w:r w:rsidRPr="007479E3">
              <w:rPr>
                <w:rFonts w:ascii="Arial" w:hAnsi="Arial" w:cs="Arial"/>
                <w:sz w:val="18"/>
                <w:szCs w:val="16"/>
              </w:rPr>
              <w:t>Résistance aux chocs</w:t>
            </w:r>
          </w:p>
        </w:tc>
        <w:tc>
          <w:tcPr>
            <w:tcW w:w="6608" w:type="dxa"/>
          </w:tcPr>
          <w:p w14:paraId="6A0BA809" w14:textId="77777777" w:rsidR="007479E3" w:rsidRDefault="007479E3" w:rsidP="007479E3">
            <w:pPr>
              <w:spacing w:after="0"/>
              <w:rPr>
                <w:rFonts w:ascii="Arial" w:hAnsi="Arial" w:cs="Arial"/>
                <w:sz w:val="18"/>
                <w:szCs w:val="16"/>
              </w:rPr>
            </w:pPr>
            <w:r w:rsidRPr="007479E3">
              <w:rPr>
                <w:rFonts w:ascii="Arial" w:hAnsi="Arial" w:cs="Arial"/>
                <w:sz w:val="18"/>
                <w:szCs w:val="16"/>
              </w:rPr>
              <w:t>IK07 avec portes vitrées</w:t>
            </w:r>
          </w:p>
          <w:p w14:paraId="6A28E91E" w14:textId="77777777" w:rsidR="007479E3" w:rsidRDefault="007479E3" w:rsidP="007479E3">
            <w:pPr>
              <w:spacing w:after="0"/>
              <w:rPr>
                <w:rFonts w:ascii="Arial" w:hAnsi="Arial" w:cs="Arial"/>
                <w:sz w:val="18"/>
                <w:szCs w:val="16"/>
              </w:rPr>
            </w:pPr>
            <w:r w:rsidRPr="007479E3">
              <w:rPr>
                <w:rFonts w:ascii="Arial" w:hAnsi="Arial" w:cs="Arial"/>
                <w:sz w:val="18"/>
                <w:szCs w:val="16"/>
              </w:rPr>
              <w:t>IK08 avec plastrons (sans porte)</w:t>
            </w:r>
          </w:p>
          <w:p w14:paraId="5FC4D79B" w14:textId="002D6FDC" w:rsidR="00661696" w:rsidRPr="009939D4" w:rsidRDefault="007479E3" w:rsidP="007479E3">
            <w:pPr>
              <w:spacing w:after="0"/>
              <w:rPr>
                <w:rFonts w:ascii="Arial" w:hAnsi="Arial" w:cs="Arial"/>
                <w:sz w:val="18"/>
                <w:szCs w:val="16"/>
              </w:rPr>
            </w:pPr>
            <w:r w:rsidRPr="007479E3">
              <w:rPr>
                <w:rFonts w:ascii="Arial" w:hAnsi="Arial" w:cs="Arial"/>
                <w:sz w:val="18"/>
                <w:szCs w:val="16"/>
              </w:rPr>
              <w:t>IK10</w:t>
            </w:r>
            <w:r>
              <w:t xml:space="preserve"> </w:t>
            </w:r>
            <w:r w:rsidRPr="007479E3">
              <w:rPr>
                <w:rFonts w:ascii="Arial" w:hAnsi="Arial" w:cs="Arial"/>
                <w:sz w:val="18"/>
                <w:szCs w:val="16"/>
              </w:rPr>
              <w:t>avec portes</w:t>
            </w:r>
          </w:p>
        </w:tc>
      </w:tr>
      <w:tr w:rsidR="00661696" w:rsidRPr="009939D4" w14:paraId="00E1B3BC" w14:textId="77777777" w:rsidTr="007479E3">
        <w:trPr>
          <w:trHeight w:hRule="exact" w:val="572"/>
        </w:trPr>
        <w:tc>
          <w:tcPr>
            <w:tcW w:w="3686" w:type="dxa"/>
          </w:tcPr>
          <w:p w14:paraId="4100045F" w14:textId="39EAB37F" w:rsidR="00661696" w:rsidRPr="009939D4" w:rsidRDefault="007479E3" w:rsidP="00661696">
            <w:pPr>
              <w:rPr>
                <w:rFonts w:ascii="Arial" w:hAnsi="Arial" w:cs="Arial"/>
                <w:sz w:val="18"/>
                <w:szCs w:val="16"/>
              </w:rPr>
            </w:pPr>
            <w:r w:rsidRPr="007479E3">
              <w:rPr>
                <w:rFonts w:ascii="Arial" w:hAnsi="Arial" w:cs="Arial"/>
                <w:sz w:val="18"/>
                <w:szCs w:val="16"/>
              </w:rPr>
              <w:t>Largeur de cellule interne/externe</w:t>
            </w:r>
          </w:p>
        </w:tc>
        <w:tc>
          <w:tcPr>
            <w:tcW w:w="6608" w:type="dxa"/>
          </w:tcPr>
          <w:p w14:paraId="38B48867" w14:textId="2069F67B" w:rsidR="00661696" w:rsidRPr="009939D4" w:rsidRDefault="007479E3" w:rsidP="007479E3">
            <w:pPr>
              <w:spacing w:after="0"/>
              <w:rPr>
                <w:rFonts w:ascii="Arial" w:hAnsi="Arial" w:cs="Arial"/>
                <w:sz w:val="18"/>
                <w:szCs w:val="16"/>
              </w:rPr>
            </w:pPr>
            <w:r w:rsidRPr="007479E3">
              <w:rPr>
                <w:rFonts w:ascii="Arial" w:hAnsi="Arial" w:cs="Arial"/>
                <w:sz w:val="18"/>
                <w:szCs w:val="16"/>
              </w:rPr>
              <w:t>300 mm (en gaine dans cellule de 1000)   — 350 mm / 450 mm — 600 mm / 700 mm   — 800 mm / 900 mm — 600 mm + 300 mm / 1000 mm</w:t>
            </w:r>
          </w:p>
        </w:tc>
      </w:tr>
      <w:tr w:rsidR="00661696" w:rsidRPr="009939D4" w14:paraId="4B4DA41E" w14:textId="77777777" w:rsidTr="007479E3">
        <w:trPr>
          <w:trHeight w:hRule="exact" w:val="708"/>
        </w:trPr>
        <w:tc>
          <w:tcPr>
            <w:tcW w:w="3686" w:type="dxa"/>
          </w:tcPr>
          <w:p w14:paraId="6DB8DE61" w14:textId="3CE8F431" w:rsidR="00661696" w:rsidRPr="009939D4" w:rsidRDefault="007479E3" w:rsidP="00661696">
            <w:pPr>
              <w:rPr>
                <w:rFonts w:ascii="Arial" w:hAnsi="Arial" w:cs="Arial"/>
                <w:sz w:val="18"/>
                <w:szCs w:val="16"/>
              </w:rPr>
            </w:pPr>
            <w:r w:rsidRPr="007479E3">
              <w:rPr>
                <w:rFonts w:ascii="Arial" w:hAnsi="Arial" w:cs="Arial"/>
                <w:sz w:val="18"/>
                <w:szCs w:val="16"/>
              </w:rPr>
              <w:t>Profondeur de cellule externe</w:t>
            </w:r>
          </w:p>
        </w:tc>
        <w:tc>
          <w:tcPr>
            <w:tcW w:w="6608" w:type="dxa"/>
          </w:tcPr>
          <w:p w14:paraId="2485591C" w14:textId="77777777" w:rsidR="007479E3" w:rsidRDefault="007479E3" w:rsidP="007479E3">
            <w:pPr>
              <w:spacing w:after="0"/>
              <w:rPr>
                <w:rFonts w:ascii="Arial" w:hAnsi="Arial" w:cs="Arial"/>
                <w:sz w:val="18"/>
                <w:szCs w:val="16"/>
              </w:rPr>
            </w:pPr>
            <w:r w:rsidRPr="009939D4">
              <w:rPr>
                <w:rFonts w:ascii="Arial" w:hAnsi="Arial" w:cs="Arial"/>
                <w:sz w:val="18"/>
                <w:szCs w:val="16"/>
              </w:rPr>
              <w:t>400 mm</w:t>
            </w:r>
          </w:p>
          <w:p w14:paraId="2F817D33" w14:textId="77777777" w:rsidR="007479E3" w:rsidRDefault="007479E3" w:rsidP="007479E3">
            <w:pPr>
              <w:spacing w:after="0"/>
              <w:rPr>
                <w:rFonts w:ascii="Arial" w:hAnsi="Arial" w:cs="Arial"/>
                <w:sz w:val="18"/>
                <w:szCs w:val="16"/>
              </w:rPr>
            </w:pPr>
            <w:r w:rsidRPr="009939D4">
              <w:rPr>
                <w:rFonts w:ascii="Arial" w:hAnsi="Arial" w:cs="Arial"/>
                <w:sz w:val="18"/>
                <w:szCs w:val="16"/>
              </w:rPr>
              <w:t>600 mm</w:t>
            </w:r>
          </w:p>
          <w:p w14:paraId="68381A16" w14:textId="09286257" w:rsidR="00661696" w:rsidRPr="009939D4" w:rsidRDefault="007479E3" w:rsidP="007479E3">
            <w:pPr>
              <w:spacing w:after="0"/>
              <w:rPr>
                <w:rFonts w:ascii="Arial" w:hAnsi="Arial" w:cs="Arial"/>
                <w:sz w:val="18"/>
                <w:szCs w:val="16"/>
              </w:rPr>
            </w:pPr>
            <w:r w:rsidRPr="009939D4">
              <w:rPr>
                <w:rFonts w:ascii="Arial" w:hAnsi="Arial" w:cs="Arial"/>
                <w:sz w:val="18"/>
                <w:szCs w:val="16"/>
              </w:rPr>
              <w:t>800 mm</w:t>
            </w:r>
          </w:p>
        </w:tc>
      </w:tr>
      <w:tr w:rsidR="00661696" w:rsidRPr="009939D4" w14:paraId="2AC1FC17" w14:textId="77777777" w:rsidTr="002C4ABE">
        <w:trPr>
          <w:trHeight w:hRule="exact" w:val="569"/>
        </w:trPr>
        <w:tc>
          <w:tcPr>
            <w:tcW w:w="3686" w:type="dxa"/>
          </w:tcPr>
          <w:p w14:paraId="7C9E02D7" w14:textId="13FA21A3" w:rsidR="00661696" w:rsidRPr="009939D4" w:rsidRDefault="007479E3" w:rsidP="00661696">
            <w:pPr>
              <w:rPr>
                <w:rFonts w:ascii="Arial" w:hAnsi="Arial" w:cs="Arial"/>
                <w:sz w:val="18"/>
                <w:szCs w:val="16"/>
              </w:rPr>
            </w:pPr>
            <w:r w:rsidRPr="007479E3">
              <w:rPr>
                <w:rFonts w:ascii="Arial" w:hAnsi="Arial" w:cs="Arial"/>
                <w:sz w:val="18"/>
                <w:szCs w:val="16"/>
              </w:rPr>
              <w:t>Hauteur de cellule interne/externe</w:t>
            </w:r>
          </w:p>
        </w:tc>
        <w:tc>
          <w:tcPr>
            <w:tcW w:w="6608" w:type="dxa"/>
          </w:tcPr>
          <w:p w14:paraId="448AF3F5" w14:textId="77777777" w:rsidR="007479E3" w:rsidRDefault="007479E3" w:rsidP="007479E3">
            <w:pPr>
              <w:spacing w:after="0"/>
              <w:rPr>
                <w:rFonts w:ascii="Arial" w:hAnsi="Arial" w:cs="Arial"/>
                <w:sz w:val="18"/>
                <w:szCs w:val="16"/>
              </w:rPr>
            </w:pPr>
            <w:r w:rsidRPr="007479E3">
              <w:rPr>
                <w:rFonts w:ascii="Arial" w:hAnsi="Arial" w:cs="Arial"/>
                <w:sz w:val="18"/>
                <w:szCs w:val="16"/>
              </w:rPr>
              <w:t>1800 mm / 1900 mm</w:t>
            </w:r>
          </w:p>
          <w:p w14:paraId="54DFDA2E" w14:textId="28BBB7E7" w:rsidR="00661696" w:rsidRPr="009939D4" w:rsidRDefault="007479E3" w:rsidP="007479E3">
            <w:pPr>
              <w:spacing w:after="0"/>
              <w:rPr>
                <w:rFonts w:ascii="Arial" w:hAnsi="Arial" w:cs="Arial"/>
                <w:sz w:val="18"/>
                <w:szCs w:val="16"/>
              </w:rPr>
            </w:pPr>
            <w:r w:rsidRPr="007479E3">
              <w:rPr>
                <w:rFonts w:ascii="Arial" w:hAnsi="Arial" w:cs="Arial"/>
                <w:sz w:val="18"/>
                <w:szCs w:val="16"/>
              </w:rPr>
              <w:t>2000 mm / 2100 mm</w:t>
            </w:r>
          </w:p>
        </w:tc>
      </w:tr>
      <w:tr w:rsidR="007479E3" w:rsidRPr="009939D4" w14:paraId="48777A04" w14:textId="77777777" w:rsidTr="007479E3">
        <w:trPr>
          <w:trHeight w:hRule="exact" w:val="421"/>
        </w:trPr>
        <w:tc>
          <w:tcPr>
            <w:tcW w:w="3686" w:type="dxa"/>
          </w:tcPr>
          <w:p w14:paraId="455470FA" w14:textId="675633BB" w:rsidR="007479E3" w:rsidRPr="007479E3" w:rsidRDefault="007479E3" w:rsidP="00661696">
            <w:pPr>
              <w:rPr>
                <w:rFonts w:ascii="Arial" w:hAnsi="Arial" w:cs="Arial"/>
                <w:sz w:val="18"/>
                <w:szCs w:val="16"/>
              </w:rPr>
            </w:pPr>
            <w:r w:rsidRPr="007479E3">
              <w:rPr>
                <w:rFonts w:ascii="Arial" w:hAnsi="Arial" w:cs="Arial"/>
                <w:sz w:val="18"/>
                <w:szCs w:val="16"/>
              </w:rPr>
              <w:t>Hauteur de socle</w:t>
            </w:r>
          </w:p>
        </w:tc>
        <w:tc>
          <w:tcPr>
            <w:tcW w:w="6608" w:type="dxa"/>
          </w:tcPr>
          <w:p w14:paraId="537EF485" w14:textId="3E739131" w:rsidR="007479E3" w:rsidRPr="007479E3" w:rsidRDefault="007479E3" w:rsidP="007479E3">
            <w:pPr>
              <w:spacing w:after="0"/>
              <w:rPr>
                <w:rFonts w:ascii="Arial" w:hAnsi="Arial" w:cs="Arial"/>
                <w:sz w:val="18"/>
                <w:szCs w:val="16"/>
              </w:rPr>
            </w:pPr>
            <w:r w:rsidRPr="009939D4">
              <w:rPr>
                <w:rFonts w:ascii="Arial" w:hAnsi="Arial" w:cs="Arial"/>
                <w:sz w:val="18"/>
                <w:szCs w:val="16"/>
              </w:rPr>
              <w:t>jusqu’à 3 hauteurs de 100 à 300 mm</w:t>
            </w:r>
          </w:p>
        </w:tc>
      </w:tr>
      <w:tr w:rsidR="007479E3" w:rsidRPr="009939D4" w14:paraId="66C4A88B" w14:textId="77777777" w:rsidTr="00CF57EF">
        <w:trPr>
          <w:trHeight w:hRule="exact" w:val="292"/>
        </w:trPr>
        <w:tc>
          <w:tcPr>
            <w:tcW w:w="3686" w:type="dxa"/>
          </w:tcPr>
          <w:p w14:paraId="70A39AAF" w14:textId="50D2B375" w:rsidR="007479E3" w:rsidRPr="007479E3" w:rsidRDefault="007479E3" w:rsidP="00661696">
            <w:pPr>
              <w:rPr>
                <w:rFonts w:ascii="Arial" w:hAnsi="Arial" w:cs="Arial"/>
                <w:sz w:val="18"/>
                <w:szCs w:val="16"/>
              </w:rPr>
            </w:pPr>
            <w:r w:rsidRPr="009939D4">
              <w:rPr>
                <w:rFonts w:ascii="Arial" w:hAnsi="Arial" w:cs="Arial"/>
                <w:sz w:val="18"/>
                <w:szCs w:val="16"/>
              </w:rPr>
              <w:t>Associations et dispositions</w:t>
            </w:r>
          </w:p>
        </w:tc>
        <w:tc>
          <w:tcPr>
            <w:tcW w:w="6608" w:type="dxa"/>
          </w:tcPr>
          <w:p w14:paraId="4F72160C" w14:textId="63B505EE" w:rsidR="007479E3" w:rsidRPr="007479E3" w:rsidRDefault="007479E3" w:rsidP="007479E3">
            <w:pPr>
              <w:spacing w:after="0"/>
              <w:rPr>
                <w:rFonts w:ascii="Arial" w:hAnsi="Arial" w:cs="Arial"/>
                <w:sz w:val="18"/>
                <w:szCs w:val="16"/>
              </w:rPr>
            </w:pPr>
            <w:r w:rsidRPr="007479E3">
              <w:rPr>
                <w:rFonts w:ascii="Arial" w:hAnsi="Arial" w:cs="Arial"/>
                <w:sz w:val="18"/>
                <w:szCs w:val="16"/>
              </w:rPr>
              <w:t>côte à côte — dos à dos — en L — en U</w:t>
            </w:r>
          </w:p>
        </w:tc>
      </w:tr>
      <w:tr w:rsidR="007479E3" w:rsidRPr="009939D4" w14:paraId="77FC6A9F" w14:textId="77777777" w:rsidTr="00CF57EF">
        <w:trPr>
          <w:trHeight w:hRule="exact" w:val="296"/>
        </w:trPr>
        <w:tc>
          <w:tcPr>
            <w:tcW w:w="3686" w:type="dxa"/>
          </w:tcPr>
          <w:p w14:paraId="7A298FD7" w14:textId="29933E83" w:rsidR="007479E3" w:rsidRPr="009939D4" w:rsidRDefault="007479E3" w:rsidP="00661696">
            <w:pPr>
              <w:rPr>
                <w:rFonts w:ascii="Arial" w:hAnsi="Arial" w:cs="Arial"/>
                <w:sz w:val="18"/>
                <w:szCs w:val="16"/>
              </w:rPr>
            </w:pPr>
            <w:r w:rsidRPr="007479E3">
              <w:rPr>
                <w:rFonts w:ascii="Arial" w:hAnsi="Arial" w:cs="Arial"/>
                <w:sz w:val="18"/>
                <w:szCs w:val="16"/>
              </w:rPr>
              <w:t>Forme</w:t>
            </w:r>
          </w:p>
        </w:tc>
        <w:tc>
          <w:tcPr>
            <w:tcW w:w="6608" w:type="dxa"/>
          </w:tcPr>
          <w:p w14:paraId="278016EE" w14:textId="27852C43" w:rsidR="007479E3" w:rsidRPr="007479E3" w:rsidRDefault="007479E3" w:rsidP="007479E3">
            <w:pPr>
              <w:spacing w:after="0"/>
              <w:rPr>
                <w:rFonts w:ascii="Arial" w:hAnsi="Arial" w:cs="Arial"/>
                <w:sz w:val="18"/>
                <w:szCs w:val="16"/>
              </w:rPr>
            </w:pPr>
            <w:r w:rsidRPr="007479E3">
              <w:rPr>
                <w:rFonts w:ascii="Arial" w:hAnsi="Arial" w:cs="Arial"/>
                <w:sz w:val="18"/>
                <w:szCs w:val="16"/>
              </w:rPr>
              <w:t>1, 2b, 3b, 4b</w:t>
            </w:r>
          </w:p>
        </w:tc>
      </w:tr>
      <w:tr w:rsidR="00CF57EF" w:rsidRPr="009939D4" w14:paraId="47E46D7F" w14:textId="77777777" w:rsidTr="009939D4">
        <w:trPr>
          <w:trHeight w:hRule="exact" w:val="284"/>
        </w:trPr>
        <w:tc>
          <w:tcPr>
            <w:tcW w:w="3686" w:type="dxa"/>
          </w:tcPr>
          <w:p w14:paraId="1CE3712F" w14:textId="55262ABC" w:rsidR="00CF57EF" w:rsidRPr="009939D4" w:rsidRDefault="00CF57EF" w:rsidP="00661696">
            <w:pPr>
              <w:rPr>
                <w:rFonts w:ascii="Arial" w:hAnsi="Arial" w:cs="Arial"/>
                <w:sz w:val="18"/>
                <w:szCs w:val="16"/>
              </w:rPr>
            </w:pPr>
            <w:r>
              <w:rPr>
                <w:rFonts w:ascii="Arial" w:hAnsi="Arial" w:cs="Arial"/>
                <w:sz w:val="18"/>
                <w:szCs w:val="16"/>
              </w:rPr>
              <w:t>Jeu de barres</w:t>
            </w:r>
          </w:p>
        </w:tc>
        <w:tc>
          <w:tcPr>
            <w:tcW w:w="6608" w:type="dxa"/>
          </w:tcPr>
          <w:p w14:paraId="5C79CE19" w14:textId="0047BDA7" w:rsidR="00CF57EF" w:rsidRPr="007479E3" w:rsidRDefault="00CF57EF" w:rsidP="007479E3">
            <w:pPr>
              <w:spacing w:after="0"/>
              <w:rPr>
                <w:rFonts w:ascii="Arial" w:hAnsi="Arial" w:cs="Arial"/>
                <w:sz w:val="18"/>
                <w:szCs w:val="16"/>
              </w:rPr>
            </w:pPr>
            <w:r>
              <w:rPr>
                <w:rFonts w:ascii="Arial" w:hAnsi="Arial" w:cs="Arial"/>
                <w:sz w:val="18"/>
                <w:szCs w:val="16"/>
              </w:rPr>
              <w:t>Barres cuivre et/ou aluminium profilé</w:t>
            </w:r>
          </w:p>
        </w:tc>
      </w:tr>
    </w:tbl>
    <w:p w14:paraId="6996FCBE" w14:textId="77777777" w:rsidR="00CF57EF" w:rsidRDefault="00CF57EF" w:rsidP="00CF57EF">
      <w:pPr>
        <w:rPr>
          <w:rFonts w:ascii="Arial" w:hAnsi="Arial" w:cs="Arial"/>
          <w:b/>
          <w:bCs/>
          <w:color w:val="00AAE1"/>
          <w:sz w:val="28"/>
          <w:szCs w:val="28"/>
        </w:rPr>
      </w:pPr>
    </w:p>
    <w:p w14:paraId="04ABB422" w14:textId="672A9429" w:rsidR="00CF57EF" w:rsidRDefault="005E58CA" w:rsidP="005E58CA">
      <w:pPr>
        <w:tabs>
          <w:tab w:val="left" w:pos="7146"/>
        </w:tabs>
        <w:rPr>
          <w:rFonts w:ascii="Arial" w:hAnsi="Arial" w:cs="Arial"/>
          <w:b/>
          <w:bCs/>
          <w:color w:val="00AAE1"/>
          <w:sz w:val="28"/>
          <w:szCs w:val="28"/>
        </w:rPr>
      </w:pPr>
      <w:r>
        <w:rPr>
          <w:rFonts w:ascii="Arial" w:hAnsi="Arial" w:cs="Arial"/>
          <w:b/>
          <w:bCs/>
          <w:color w:val="00AAE1"/>
          <w:sz w:val="28"/>
          <w:szCs w:val="28"/>
        </w:rPr>
        <w:tab/>
      </w:r>
    </w:p>
    <w:p w14:paraId="3DF3C05E" w14:textId="606B0500" w:rsidR="00CF57EF" w:rsidRPr="006B3526" w:rsidRDefault="00CF57EF" w:rsidP="00CF57EF">
      <w:pPr>
        <w:rPr>
          <w:rFonts w:ascii="Arial" w:hAnsi="Arial" w:cs="Arial"/>
          <w:b/>
          <w:bCs/>
          <w:color w:val="00AAE1"/>
          <w:sz w:val="28"/>
          <w:szCs w:val="28"/>
        </w:rPr>
      </w:pPr>
      <w:r w:rsidRPr="006B3526">
        <w:rPr>
          <w:rFonts w:ascii="Arial" w:hAnsi="Arial" w:cs="Arial"/>
          <w:b/>
          <w:bCs/>
          <w:color w:val="00AAE1"/>
          <w:sz w:val="28"/>
          <w:szCs w:val="28"/>
        </w:rPr>
        <w:lastRenderedPageBreak/>
        <w:t xml:space="preserve">Caractéristiques </w:t>
      </w:r>
      <w:r>
        <w:rPr>
          <w:rFonts w:ascii="Arial" w:hAnsi="Arial" w:cs="Arial"/>
          <w:b/>
          <w:bCs/>
          <w:color w:val="00AAE1"/>
          <w:sz w:val="28"/>
          <w:szCs w:val="28"/>
        </w:rPr>
        <w:t>électriques</w:t>
      </w:r>
    </w:p>
    <w:tbl>
      <w:tblPr>
        <w:tblStyle w:val="Grilledutableau"/>
        <w:tblpPr w:leftFromText="141" w:rightFromText="141" w:vertAnchor="text" w:horzAnchor="margin" w:tblpX="250" w:tblpY="106"/>
        <w:tblW w:w="10294" w:type="dxa"/>
        <w:tblBorders>
          <w:left w:val="none" w:sz="0" w:space="0" w:color="auto"/>
          <w:right w:val="none" w:sz="0" w:space="0" w:color="auto"/>
        </w:tblBorders>
        <w:tblLook w:val="04A0" w:firstRow="1" w:lastRow="0" w:firstColumn="1" w:lastColumn="0" w:noHBand="0" w:noVBand="1"/>
      </w:tblPr>
      <w:tblGrid>
        <w:gridCol w:w="3686"/>
        <w:gridCol w:w="6608"/>
      </w:tblGrid>
      <w:tr w:rsidR="00CF57EF" w:rsidRPr="009939D4" w14:paraId="7A799859" w14:textId="77777777" w:rsidTr="00CF57EF">
        <w:trPr>
          <w:trHeight w:hRule="exact" w:val="578"/>
        </w:trPr>
        <w:tc>
          <w:tcPr>
            <w:tcW w:w="3686" w:type="dxa"/>
          </w:tcPr>
          <w:p w14:paraId="146F8A57" w14:textId="77777777" w:rsidR="00CF57EF" w:rsidRDefault="00CF57EF" w:rsidP="00CF57EF">
            <w:pPr>
              <w:spacing w:after="0"/>
              <w:rPr>
                <w:rFonts w:ascii="Arial" w:hAnsi="Arial" w:cs="Arial"/>
                <w:sz w:val="18"/>
                <w:szCs w:val="16"/>
              </w:rPr>
            </w:pPr>
            <w:r w:rsidRPr="00CF57EF">
              <w:rPr>
                <w:rFonts w:ascii="Arial" w:hAnsi="Arial" w:cs="Arial"/>
                <w:sz w:val="18"/>
                <w:szCs w:val="16"/>
              </w:rPr>
              <w:t>Tension  assignée  d’isolement</w:t>
            </w:r>
          </w:p>
          <w:p w14:paraId="4B27A007" w14:textId="4361A7CF" w:rsidR="00CF57EF" w:rsidRPr="009939D4" w:rsidRDefault="00CF57EF" w:rsidP="00CF57EF">
            <w:pPr>
              <w:spacing w:after="0"/>
              <w:rPr>
                <w:rFonts w:ascii="Arial" w:hAnsi="Arial" w:cs="Arial"/>
                <w:sz w:val="18"/>
                <w:szCs w:val="16"/>
              </w:rPr>
            </w:pPr>
            <w:r w:rsidRPr="00CF57EF">
              <w:rPr>
                <w:rFonts w:ascii="Arial" w:hAnsi="Arial" w:cs="Arial"/>
                <w:sz w:val="18"/>
                <w:szCs w:val="16"/>
              </w:rPr>
              <w:t>(jeu de barres principal)</w:t>
            </w:r>
          </w:p>
        </w:tc>
        <w:tc>
          <w:tcPr>
            <w:tcW w:w="6608" w:type="dxa"/>
          </w:tcPr>
          <w:p w14:paraId="231868CF" w14:textId="4E26FDC2" w:rsidR="00CF57EF" w:rsidRPr="009939D4" w:rsidRDefault="00CF57EF" w:rsidP="00CF57EF">
            <w:pPr>
              <w:spacing w:after="0"/>
              <w:rPr>
                <w:rFonts w:ascii="Arial" w:hAnsi="Arial" w:cs="Arial"/>
                <w:sz w:val="18"/>
                <w:szCs w:val="16"/>
              </w:rPr>
            </w:pPr>
            <w:r>
              <w:rPr>
                <w:rFonts w:ascii="Arial" w:hAnsi="Arial" w:cs="Arial"/>
                <w:sz w:val="18"/>
                <w:szCs w:val="16"/>
              </w:rPr>
              <w:t>1000 V</w:t>
            </w:r>
          </w:p>
        </w:tc>
      </w:tr>
      <w:tr w:rsidR="00CF57EF" w:rsidRPr="009939D4" w14:paraId="63E3A6CB" w14:textId="77777777" w:rsidTr="003043A9">
        <w:trPr>
          <w:trHeight w:hRule="exact" w:val="284"/>
        </w:trPr>
        <w:tc>
          <w:tcPr>
            <w:tcW w:w="3686" w:type="dxa"/>
          </w:tcPr>
          <w:p w14:paraId="25D695A8" w14:textId="7A47DD9A" w:rsidR="00CF57EF" w:rsidRPr="009939D4" w:rsidRDefault="00CF57EF" w:rsidP="00CF57EF">
            <w:pPr>
              <w:spacing w:after="0"/>
              <w:rPr>
                <w:rFonts w:ascii="Arial" w:hAnsi="Arial" w:cs="Arial"/>
                <w:sz w:val="18"/>
                <w:szCs w:val="16"/>
              </w:rPr>
            </w:pPr>
            <w:r w:rsidRPr="00CF57EF">
              <w:rPr>
                <w:rFonts w:ascii="Arial" w:hAnsi="Arial" w:cs="Arial"/>
                <w:sz w:val="18"/>
                <w:szCs w:val="16"/>
              </w:rPr>
              <w:t>Courant assigné (</w:t>
            </w:r>
            <w:proofErr w:type="spellStart"/>
            <w:r w:rsidRPr="00CF57EF">
              <w:rPr>
                <w:rFonts w:ascii="Arial" w:hAnsi="Arial" w:cs="Arial"/>
                <w:sz w:val="18"/>
                <w:szCs w:val="16"/>
              </w:rPr>
              <w:t>InA</w:t>
            </w:r>
            <w:proofErr w:type="spellEnd"/>
            <w:r w:rsidRPr="00CF57EF">
              <w:rPr>
                <w:rFonts w:ascii="Arial" w:hAnsi="Arial" w:cs="Arial"/>
                <w:sz w:val="18"/>
                <w:szCs w:val="16"/>
              </w:rPr>
              <w:t>)</w:t>
            </w:r>
          </w:p>
        </w:tc>
        <w:tc>
          <w:tcPr>
            <w:tcW w:w="6608" w:type="dxa"/>
          </w:tcPr>
          <w:p w14:paraId="3438034E" w14:textId="7D81DE48" w:rsidR="00CF57EF" w:rsidRPr="009939D4" w:rsidRDefault="00CF57EF" w:rsidP="00CF57EF">
            <w:pPr>
              <w:spacing w:after="0"/>
              <w:rPr>
                <w:rFonts w:ascii="Arial" w:hAnsi="Arial" w:cs="Arial"/>
                <w:sz w:val="18"/>
                <w:szCs w:val="16"/>
              </w:rPr>
            </w:pPr>
            <w:r>
              <w:rPr>
                <w:rFonts w:ascii="Arial" w:hAnsi="Arial" w:cs="Arial"/>
                <w:sz w:val="18"/>
                <w:szCs w:val="16"/>
              </w:rPr>
              <w:t>4000 A</w:t>
            </w:r>
          </w:p>
        </w:tc>
      </w:tr>
      <w:tr w:rsidR="00CF57EF" w:rsidRPr="009939D4" w14:paraId="3100D1A6" w14:textId="77777777" w:rsidTr="00CF57EF">
        <w:trPr>
          <w:trHeight w:hRule="exact" w:val="578"/>
        </w:trPr>
        <w:tc>
          <w:tcPr>
            <w:tcW w:w="3686" w:type="dxa"/>
          </w:tcPr>
          <w:p w14:paraId="2F82A352" w14:textId="6BDC1943" w:rsidR="00CF57EF" w:rsidRPr="009939D4" w:rsidRDefault="00CF57EF" w:rsidP="00CF57EF">
            <w:pPr>
              <w:spacing w:after="0"/>
              <w:rPr>
                <w:rFonts w:ascii="Arial" w:hAnsi="Arial" w:cs="Arial"/>
                <w:sz w:val="18"/>
                <w:szCs w:val="16"/>
              </w:rPr>
            </w:pPr>
            <w:r w:rsidRPr="00CF57EF">
              <w:rPr>
                <w:rFonts w:ascii="Arial" w:hAnsi="Arial" w:cs="Arial"/>
                <w:sz w:val="18"/>
                <w:szCs w:val="16"/>
              </w:rPr>
              <w:t>Courant  assigné  de  crête  admissible</w:t>
            </w:r>
            <w:r>
              <w:rPr>
                <w:rFonts w:ascii="Arial" w:hAnsi="Arial" w:cs="Arial"/>
                <w:sz w:val="18"/>
                <w:szCs w:val="16"/>
              </w:rPr>
              <w:t xml:space="preserve"> </w:t>
            </w:r>
            <w:r w:rsidRPr="00CF57EF">
              <w:rPr>
                <w:rFonts w:ascii="Arial" w:hAnsi="Arial" w:cs="Arial"/>
                <w:sz w:val="18"/>
                <w:szCs w:val="16"/>
              </w:rPr>
              <w:t>(</w:t>
            </w:r>
            <w:proofErr w:type="spellStart"/>
            <w:r w:rsidRPr="00CF57EF">
              <w:rPr>
                <w:rFonts w:ascii="Arial" w:hAnsi="Arial" w:cs="Arial"/>
                <w:sz w:val="18"/>
                <w:szCs w:val="16"/>
              </w:rPr>
              <w:t>Ipk</w:t>
            </w:r>
            <w:proofErr w:type="spellEnd"/>
            <w:r w:rsidRPr="00CF57EF">
              <w:rPr>
                <w:rFonts w:ascii="Arial" w:hAnsi="Arial" w:cs="Arial"/>
                <w:sz w:val="18"/>
                <w:szCs w:val="16"/>
              </w:rPr>
              <w:t>)</w:t>
            </w:r>
          </w:p>
        </w:tc>
        <w:tc>
          <w:tcPr>
            <w:tcW w:w="6608" w:type="dxa"/>
          </w:tcPr>
          <w:p w14:paraId="2843181D" w14:textId="68F2898D" w:rsidR="00CF57EF" w:rsidRPr="009939D4" w:rsidRDefault="00CF57EF" w:rsidP="00CF57EF">
            <w:pPr>
              <w:spacing w:after="0"/>
              <w:rPr>
                <w:rFonts w:ascii="Arial" w:hAnsi="Arial" w:cs="Arial"/>
                <w:sz w:val="18"/>
                <w:szCs w:val="16"/>
              </w:rPr>
            </w:pPr>
            <w:r>
              <w:rPr>
                <w:rFonts w:ascii="Arial" w:hAnsi="Arial" w:cs="Arial"/>
                <w:sz w:val="18"/>
                <w:szCs w:val="16"/>
              </w:rPr>
              <w:t>187 kA</w:t>
            </w:r>
          </w:p>
        </w:tc>
      </w:tr>
      <w:tr w:rsidR="00CF57EF" w:rsidRPr="009939D4" w14:paraId="40C130D4" w14:textId="77777777" w:rsidTr="00CF57EF">
        <w:trPr>
          <w:trHeight w:hRule="exact" w:val="558"/>
        </w:trPr>
        <w:tc>
          <w:tcPr>
            <w:tcW w:w="3686" w:type="dxa"/>
          </w:tcPr>
          <w:p w14:paraId="0777A13A" w14:textId="6CB93EC4" w:rsidR="00CF57EF" w:rsidRPr="009939D4" w:rsidRDefault="00CF57EF" w:rsidP="00CF57EF">
            <w:pPr>
              <w:spacing w:after="0"/>
              <w:rPr>
                <w:rFonts w:ascii="Arial" w:hAnsi="Arial" w:cs="Arial"/>
                <w:sz w:val="18"/>
                <w:szCs w:val="16"/>
              </w:rPr>
            </w:pPr>
            <w:r w:rsidRPr="00CF57EF">
              <w:rPr>
                <w:rFonts w:ascii="Arial" w:hAnsi="Arial" w:cs="Arial"/>
                <w:sz w:val="18"/>
                <w:szCs w:val="16"/>
              </w:rPr>
              <w:t>Courant  assigné  de  courte  durée   admissible (</w:t>
            </w:r>
            <w:proofErr w:type="spellStart"/>
            <w:r w:rsidRPr="00CF57EF">
              <w:rPr>
                <w:rFonts w:ascii="Arial" w:hAnsi="Arial" w:cs="Arial"/>
                <w:sz w:val="18"/>
                <w:szCs w:val="16"/>
              </w:rPr>
              <w:t>Icw</w:t>
            </w:r>
            <w:proofErr w:type="spellEnd"/>
            <w:r w:rsidRPr="00CF57EF">
              <w:rPr>
                <w:rFonts w:ascii="Arial" w:hAnsi="Arial" w:cs="Arial"/>
                <w:sz w:val="18"/>
                <w:szCs w:val="16"/>
              </w:rPr>
              <w:t>)</w:t>
            </w:r>
          </w:p>
        </w:tc>
        <w:tc>
          <w:tcPr>
            <w:tcW w:w="6608" w:type="dxa"/>
          </w:tcPr>
          <w:p w14:paraId="710AA74D" w14:textId="1146FF13" w:rsidR="00CF57EF" w:rsidRPr="009939D4" w:rsidRDefault="00CF57EF" w:rsidP="00CF57EF">
            <w:pPr>
              <w:spacing w:after="0"/>
              <w:rPr>
                <w:rFonts w:ascii="Arial" w:hAnsi="Arial" w:cs="Arial"/>
                <w:sz w:val="18"/>
                <w:szCs w:val="16"/>
              </w:rPr>
            </w:pPr>
            <w:r>
              <w:rPr>
                <w:rFonts w:ascii="Arial" w:hAnsi="Arial" w:cs="Arial"/>
                <w:sz w:val="18"/>
                <w:szCs w:val="16"/>
              </w:rPr>
              <w:t xml:space="preserve">85 kA </w:t>
            </w:r>
            <w:proofErr w:type="spellStart"/>
            <w:r>
              <w:rPr>
                <w:rFonts w:ascii="Arial" w:hAnsi="Arial" w:cs="Arial"/>
                <w:sz w:val="18"/>
                <w:szCs w:val="16"/>
              </w:rPr>
              <w:t>rms</w:t>
            </w:r>
            <w:proofErr w:type="spellEnd"/>
            <w:r>
              <w:rPr>
                <w:rFonts w:ascii="Arial" w:hAnsi="Arial" w:cs="Arial"/>
                <w:sz w:val="18"/>
                <w:szCs w:val="16"/>
              </w:rPr>
              <w:t xml:space="preserve"> / 1 s</w:t>
            </w:r>
          </w:p>
        </w:tc>
      </w:tr>
      <w:tr w:rsidR="00CF57EF" w:rsidRPr="009939D4" w14:paraId="2A91AB9C" w14:textId="77777777" w:rsidTr="00CF57EF">
        <w:trPr>
          <w:trHeight w:hRule="exact" w:val="282"/>
        </w:trPr>
        <w:tc>
          <w:tcPr>
            <w:tcW w:w="3686" w:type="dxa"/>
          </w:tcPr>
          <w:p w14:paraId="4E7B1898" w14:textId="6AAD24F2" w:rsidR="00CF57EF" w:rsidRPr="009939D4" w:rsidRDefault="00CF57EF" w:rsidP="00CF57EF">
            <w:pPr>
              <w:spacing w:after="0"/>
              <w:rPr>
                <w:rFonts w:ascii="Arial" w:hAnsi="Arial" w:cs="Arial"/>
                <w:sz w:val="18"/>
                <w:szCs w:val="16"/>
              </w:rPr>
            </w:pPr>
            <w:r w:rsidRPr="00CF57EF">
              <w:rPr>
                <w:rFonts w:ascii="Arial" w:hAnsi="Arial" w:cs="Arial"/>
                <w:sz w:val="18"/>
                <w:szCs w:val="16"/>
              </w:rPr>
              <w:t>Fréquence</w:t>
            </w:r>
          </w:p>
        </w:tc>
        <w:tc>
          <w:tcPr>
            <w:tcW w:w="6608" w:type="dxa"/>
          </w:tcPr>
          <w:p w14:paraId="636B686B" w14:textId="58362B09" w:rsidR="00CF57EF" w:rsidRPr="009939D4" w:rsidRDefault="00CF57EF" w:rsidP="00CF57EF">
            <w:pPr>
              <w:spacing w:after="0"/>
              <w:rPr>
                <w:rFonts w:ascii="Arial" w:hAnsi="Arial" w:cs="Arial"/>
                <w:sz w:val="18"/>
                <w:szCs w:val="16"/>
              </w:rPr>
            </w:pPr>
            <w:r>
              <w:rPr>
                <w:rFonts w:ascii="Arial" w:hAnsi="Arial" w:cs="Arial"/>
                <w:sz w:val="18"/>
                <w:szCs w:val="16"/>
              </w:rPr>
              <w:t>50 / 60 Hz</w:t>
            </w:r>
          </w:p>
        </w:tc>
      </w:tr>
      <w:tr w:rsidR="00CF57EF" w:rsidRPr="009939D4" w14:paraId="6213CA5F" w14:textId="77777777" w:rsidTr="00CF57EF">
        <w:trPr>
          <w:trHeight w:hRule="exact" w:val="286"/>
        </w:trPr>
        <w:tc>
          <w:tcPr>
            <w:tcW w:w="3686" w:type="dxa"/>
          </w:tcPr>
          <w:p w14:paraId="3171583D" w14:textId="47A33D35" w:rsidR="00CF57EF" w:rsidRPr="009939D4" w:rsidRDefault="00CF57EF" w:rsidP="00CF57EF">
            <w:pPr>
              <w:spacing w:after="0"/>
              <w:rPr>
                <w:rFonts w:ascii="Arial" w:hAnsi="Arial" w:cs="Arial"/>
                <w:sz w:val="18"/>
                <w:szCs w:val="16"/>
              </w:rPr>
            </w:pPr>
            <w:r w:rsidRPr="00CF57EF">
              <w:rPr>
                <w:rFonts w:ascii="Arial" w:hAnsi="Arial" w:cs="Arial"/>
                <w:sz w:val="18"/>
                <w:szCs w:val="16"/>
              </w:rPr>
              <w:t>Tension  assignée  d‘emploi  (</w:t>
            </w:r>
            <w:proofErr w:type="spellStart"/>
            <w:r w:rsidRPr="00CF57EF">
              <w:rPr>
                <w:rFonts w:ascii="Arial" w:hAnsi="Arial" w:cs="Arial"/>
                <w:sz w:val="18"/>
                <w:szCs w:val="16"/>
              </w:rPr>
              <w:t>Ue</w:t>
            </w:r>
            <w:proofErr w:type="spellEnd"/>
            <w:r w:rsidRPr="00CF57EF">
              <w:rPr>
                <w:rFonts w:ascii="Arial" w:hAnsi="Arial" w:cs="Arial"/>
                <w:sz w:val="18"/>
                <w:szCs w:val="16"/>
              </w:rPr>
              <w:t>)</w:t>
            </w:r>
          </w:p>
        </w:tc>
        <w:tc>
          <w:tcPr>
            <w:tcW w:w="6608" w:type="dxa"/>
          </w:tcPr>
          <w:p w14:paraId="0E39FFB7" w14:textId="347A6536" w:rsidR="00CF57EF" w:rsidRPr="009939D4" w:rsidRDefault="00C34D2A" w:rsidP="00CF57EF">
            <w:pPr>
              <w:spacing w:after="0"/>
              <w:rPr>
                <w:rFonts w:ascii="Arial" w:hAnsi="Arial" w:cs="Arial"/>
                <w:sz w:val="18"/>
                <w:szCs w:val="16"/>
              </w:rPr>
            </w:pPr>
            <w:r>
              <w:rPr>
                <w:rFonts w:ascii="Arial" w:hAnsi="Arial" w:cs="Arial"/>
                <w:sz w:val="18"/>
                <w:szCs w:val="16"/>
              </w:rPr>
              <w:t>415</w:t>
            </w:r>
            <w:r w:rsidR="00CF57EF">
              <w:rPr>
                <w:rFonts w:ascii="Arial" w:hAnsi="Arial" w:cs="Arial"/>
                <w:sz w:val="18"/>
                <w:szCs w:val="16"/>
              </w:rPr>
              <w:t xml:space="preserve"> V</w:t>
            </w:r>
          </w:p>
        </w:tc>
      </w:tr>
    </w:tbl>
    <w:p w14:paraId="549A491D" w14:textId="77777777" w:rsidR="00CF57EF" w:rsidRDefault="00CF57EF" w:rsidP="00661696">
      <w:pPr>
        <w:rPr>
          <w:rFonts w:ascii="Arial" w:hAnsi="Arial" w:cs="Arial"/>
          <w:b/>
          <w:bCs/>
          <w:color w:val="00AAE1"/>
          <w:sz w:val="28"/>
          <w:szCs w:val="28"/>
        </w:rPr>
      </w:pPr>
    </w:p>
    <w:p w14:paraId="3E986A40" w14:textId="77777777" w:rsidR="00574C66" w:rsidRDefault="00574C66" w:rsidP="00574C66">
      <w:pPr>
        <w:rPr>
          <w:rFonts w:ascii="Arial" w:hAnsi="Arial" w:cs="Arial"/>
          <w:b/>
          <w:bCs/>
          <w:color w:val="00AAE1"/>
          <w:sz w:val="28"/>
          <w:szCs w:val="28"/>
        </w:rPr>
      </w:pPr>
      <w:r>
        <w:rPr>
          <w:rFonts w:ascii="Arial" w:hAnsi="Arial" w:cs="Arial"/>
          <w:b/>
          <w:bCs/>
          <w:color w:val="00AAE1"/>
          <w:sz w:val="28"/>
          <w:szCs w:val="28"/>
        </w:rPr>
        <w:t>Caractéristiques normatives</w:t>
      </w:r>
    </w:p>
    <w:p w14:paraId="7830DEC8" w14:textId="44548806" w:rsidR="00574C66" w:rsidRDefault="00574C66" w:rsidP="00574C66">
      <w:pPr>
        <w:rPr>
          <w:rFonts w:ascii="Arial" w:hAnsi="Arial" w:cs="Arial"/>
          <w:color w:val="737373"/>
        </w:rPr>
      </w:pPr>
      <w:r w:rsidRPr="00C214FD">
        <w:rPr>
          <w:rFonts w:ascii="Arial" w:hAnsi="Arial" w:cs="Arial"/>
          <w:color w:val="737373"/>
        </w:rPr>
        <w:t xml:space="preserve">Le </w:t>
      </w:r>
      <w:r w:rsidR="005E58CA">
        <w:rPr>
          <w:rFonts w:ascii="Arial" w:hAnsi="Arial" w:cs="Arial"/>
          <w:color w:val="737373"/>
        </w:rPr>
        <w:t>s</w:t>
      </w:r>
      <w:r w:rsidRPr="00C214FD">
        <w:rPr>
          <w:rFonts w:ascii="Arial" w:hAnsi="Arial" w:cs="Arial"/>
          <w:color w:val="737373"/>
        </w:rPr>
        <w:t xml:space="preserve">ystème de distribution d'énergie </w:t>
      </w:r>
      <w:proofErr w:type="spellStart"/>
      <w:r>
        <w:rPr>
          <w:rFonts w:ascii="Arial" w:hAnsi="Arial" w:cs="Arial"/>
          <w:color w:val="737373"/>
        </w:rPr>
        <w:t>q</w:t>
      </w:r>
      <w:r w:rsidRPr="00C214FD">
        <w:rPr>
          <w:rFonts w:ascii="Arial" w:hAnsi="Arial" w:cs="Arial"/>
          <w:color w:val="737373"/>
        </w:rPr>
        <w:t>uadro</w:t>
      </w:r>
      <w:proofErr w:type="spellEnd"/>
      <w:r w:rsidRPr="00C214FD">
        <w:rPr>
          <w:rFonts w:ascii="Arial" w:hAnsi="Arial" w:cs="Arial"/>
          <w:color w:val="737373"/>
        </w:rPr>
        <w:t xml:space="preserve"> </w:t>
      </w:r>
      <w:proofErr w:type="spellStart"/>
      <w:r w:rsidRPr="00C214FD">
        <w:rPr>
          <w:rFonts w:ascii="Arial" w:hAnsi="Arial" w:cs="Arial"/>
          <w:color w:val="737373"/>
        </w:rPr>
        <w:t>evo</w:t>
      </w:r>
      <w:proofErr w:type="spellEnd"/>
      <w:r w:rsidRPr="00C214FD">
        <w:rPr>
          <w:rFonts w:ascii="Arial" w:hAnsi="Arial" w:cs="Arial"/>
          <w:color w:val="737373"/>
        </w:rPr>
        <w:t xml:space="preserve"> est un ensemble d’appareillages de puissance testé et certifié selon la norme IEC 61439-1 &amp; 2</w:t>
      </w:r>
    </w:p>
    <w:p w14:paraId="79F33979" w14:textId="77777777" w:rsidR="005549A7" w:rsidRDefault="005549A7" w:rsidP="00574C66">
      <w:pPr>
        <w:rPr>
          <w:rFonts w:ascii="Arial" w:hAnsi="Arial" w:cs="Arial"/>
          <w:color w:val="737373"/>
        </w:rPr>
      </w:pPr>
    </w:p>
    <w:p w14:paraId="727B7284" w14:textId="727D05F1" w:rsidR="00574C66" w:rsidRDefault="00574C66" w:rsidP="00574C66">
      <w:pPr>
        <w:rPr>
          <w:rFonts w:ascii="Arial" w:hAnsi="Arial" w:cs="Arial"/>
          <w:b/>
          <w:bCs/>
          <w:color w:val="00AAE1"/>
          <w:sz w:val="28"/>
          <w:szCs w:val="28"/>
        </w:rPr>
      </w:pPr>
      <w:r>
        <w:rPr>
          <w:rFonts w:ascii="Arial" w:hAnsi="Arial" w:cs="Arial"/>
          <w:b/>
          <w:bCs/>
          <w:color w:val="00AAE1"/>
          <w:sz w:val="28"/>
          <w:szCs w:val="28"/>
        </w:rPr>
        <w:t>Indices de service</w:t>
      </w:r>
    </w:p>
    <w:p w14:paraId="6546B6EF" w14:textId="11ECF3C5" w:rsidR="00574C66" w:rsidRDefault="005E58CA" w:rsidP="00574C66">
      <w:pPr>
        <w:rPr>
          <w:rFonts w:ascii="Arial" w:hAnsi="Arial" w:cs="Arial"/>
          <w:color w:val="737373"/>
        </w:rPr>
      </w:pPr>
      <w:r w:rsidRPr="00C214FD">
        <w:rPr>
          <w:rFonts w:ascii="Arial" w:hAnsi="Arial" w:cs="Arial"/>
          <w:color w:val="737373"/>
        </w:rPr>
        <w:t xml:space="preserve">Le </w:t>
      </w:r>
      <w:r>
        <w:rPr>
          <w:rFonts w:ascii="Arial" w:hAnsi="Arial" w:cs="Arial"/>
          <w:color w:val="737373"/>
        </w:rPr>
        <w:t>s</w:t>
      </w:r>
      <w:r w:rsidRPr="00C214FD">
        <w:rPr>
          <w:rFonts w:ascii="Arial" w:hAnsi="Arial" w:cs="Arial"/>
          <w:color w:val="737373"/>
        </w:rPr>
        <w:t xml:space="preserve">ystème de distribution d'énergie </w:t>
      </w:r>
      <w:proofErr w:type="spellStart"/>
      <w:r>
        <w:rPr>
          <w:rFonts w:ascii="Arial" w:hAnsi="Arial" w:cs="Arial"/>
          <w:color w:val="737373"/>
        </w:rPr>
        <w:t>q</w:t>
      </w:r>
      <w:r w:rsidRPr="00C214FD">
        <w:rPr>
          <w:rFonts w:ascii="Arial" w:hAnsi="Arial" w:cs="Arial"/>
          <w:color w:val="737373"/>
        </w:rPr>
        <w:t>uadro</w:t>
      </w:r>
      <w:proofErr w:type="spellEnd"/>
      <w:r w:rsidRPr="00C214FD">
        <w:rPr>
          <w:rFonts w:ascii="Arial" w:hAnsi="Arial" w:cs="Arial"/>
          <w:color w:val="737373"/>
        </w:rPr>
        <w:t xml:space="preserve"> </w:t>
      </w:r>
      <w:proofErr w:type="spellStart"/>
      <w:r w:rsidRPr="00C214FD">
        <w:rPr>
          <w:rFonts w:ascii="Arial" w:hAnsi="Arial" w:cs="Arial"/>
          <w:color w:val="737373"/>
        </w:rPr>
        <w:t>evo</w:t>
      </w:r>
      <w:proofErr w:type="spellEnd"/>
      <w:r w:rsidR="00574C66">
        <w:rPr>
          <w:rFonts w:ascii="Arial" w:hAnsi="Arial" w:cs="Arial"/>
          <w:color w:val="737373"/>
        </w:rPr>
        <w:t xml:space="preserve"> permet également de réaliser des tableaux répondant aux prescriptions du guide UTE C 63429 qui décrit une démarche de spécification du tableau en fonction de divers paramètres et critères liés à son exploitation, sa maintenance et son évolutivité.</w:t>
      </w:r>
    </w:p>
    <w:p w14:paraId="46E22422" w14:textId="67D37759" w:rsidR="00574C66" w:rsidRDefault="00574C66" w:rsidP="00B4083E">
      <w:pPr>
        <w:rPr>
          <w:rFonts w:ascii="Arial" w:hAnsi="Arial" w:cs="Arial"/>
          <w:color w:val="737373"/>
        </w:rPr>
      </w:pPr>
      <w:r>
        <w:rPr>
          <w:rFonts w:ascii="Arial" w:hAnsi="Arial" w:cs="Arial"/>
          <w:color w:val="737373"/>
        </w:rPr>
        <w:t xml:space="preserve">La spécification se traduit par un indice de service </w:t>
      </w:r>
      <w:proofErr w:type="spellStart"/>
      <w:r>
        <w:rPr>
          <w:rFonts w:ascii="Arial" w:hAnsi="Arial" w:cs="Arial"/>
          <w:color w:val="737373"/>
        </w:rPr>
        <w:t>ISxxx</w:t>
      </w:r>
      <w:proofErr w:type="spellEnd"/>
      <w:r>
        <w:rPr>
          <w:rFonts w:ascii="Arial" w:hAnsi="Arial" w:cs="Arial"/>
          <w:color w:val="737373"/>
        </w:rPr>
        <w:t xml:space="preserve"> défini par cellule ou unité fonctionnelle de départ.</w:t>
      </w:r>
    </w:p>
    <w:p w14:paraId="13E948FE" w14:textId="77777777" w:rsidR="00574C66" w:rsidRDefault="00574C66" w:rsidP="00B4083E">
      <w:pPr>
        <w:rPr>
          <w:rFonts w:ascii="Arial" w:hAnsi="Arial" w:cs="Arial"/>
          <w:color w:val="737373"/>
        </w:rPr>
      </w:pPr>
    </w:p>
    <w:p w14:paraId="282FDD06" w14:textId="4B37F721" w:rsidR="00661696" w:rsidRPr="006B3526" w:rsidRDefault="00661696" w:rsidP="00661696">
      <w:pPr>
        <w:rPr>
          <w:rFonts w:ascii="Arial" w:hAnsi="Arial" w:cs="Arial"/>
          <w:b/>
          <w:bCs/>
          <w:color w:val="00AAE1"/>
          <w:sz w:val="28"/>
          <w:szCs w:val="28"/>
        </w:rPr>
      </w:pPr>
      <w:r w:rsidRPr="006B3526">
        <w:rPr>
          <w:rFonts w:ascii="Arial" w:hAnsi="Arial" w:cs="Arial"/>
          <w:b/>
          <w:bCs/>
          <w:color w:val="00AAE1"/>
          <w:sz w:val="28"/>
          <w:szCs w:val="28"/>
        </w:rPr>
        <w:t>O</w:t>
      </w:r>
      <w:r w:rsidR="00CF57EF">
        <w:rPr>
          <w:rFonts w:ascii="Arial" w:hAnsi="Arial" w:cs="Arial"/>
          <w:b/>
          <w:bCs/>
          <w:color w:val="00AAE1"/>
          <w:sz w:val="28"/>
          <w:szCs w:val="28"/>
        </w:rPr>
        <w:t>util d’aide à la conception</w:t>
      </w:r>
    </w:p>
    <w:p w14:paraId="703B2ED9" w14:textId="3696785C" w:rsidR="00661696" w:rsidRDefault="00C214FD">
      <w:pPr>
        <w:rPr>
          <w:rFonts w:ascii="Arial" w:hAnsi="Arial" w:cs="Arial"/>
          <w:color w:val="737373"/>
        </w:rPr>
      </w:pPr>
      <w:r w:rsidRPr="00C214FD">
        <w:rPr>
          <w:rFonts w:ascii="Arial" w:hAnsi="Arial" w:cs="Arial"/>
          <w:color w:val="737373"/>
        </w:rPr>
        <w:t xml:space="preserve">Le logiciel </w:t>
      </w:r>
      <w:proofErr w:type="spellStart"/>
      <w:r w:rsidRPr="00C214FD">
        <w:rPr>
          <w:rFonts w:ascii="Arial" w:hAnsi="Arial" w:cs="Arial"/>
          <w:color w:val="737373"/>
        </w:rPr>
        <w:t>hagercad.T</w:t>
      </w:r>
      <w:proofErr w:type="spellEnd"/>
      <w:r w:rsidRPr="00C214FD">
        <w:rPr>
          <w:rFonts w:ascii="Arial" w:hAnsi="Arial" w:cs="Arial"/>
          <w:color w:val="737373"/>
        </w:rPr>
        <w:t xml:space="preserve"> permet de calculer et de configurer le tableau en fonction du schéma de distribution électrique</w:t>
      </w:r>
      <w:r w:rsidR="00B4083E">
        <w:rPr>
          <w:rFonts w:ascii="Arial" w:hAnsi="Arial" w:cs="Arial"/>
          <w:color w:val="737373"/>
        </w:rPr>
        <w:t>. Il intègre nativement les prescriptions relatives aux indices de service.</w:t>
      </w:r>
    </w:p>
    <w:p w14:paraId="459431E5" w14:textId="77777777" w:rsidR="005E58CA" w:rsidRPr="00C214FD" w:rsidRDefault="005E58CA">
      <w:pPr>
        <w:rPr>
          <w:rFonts w:ascii="Arial" w:hAnsi="Arial" w:cs="Arial"/>
          <w:color w:val="737373"/>
        </w:rPr>
      </w:pPr>
    </w:p>
    <w:p w14:paraId="13FEAC27" w14:textId="77777777" w:rsidR="00661696" w:rsidRDefault="00661696" w:rsidP="00661696">
      <w:pPr>
        <w:rPr>
          <w:rFonts w:ascii="Arial" w:hAnsi="Arial" w:cs="Arial"/>
          <w:b/>
          <w:bCs/>
          <w:color w:val="00B0F0"/>
          <w:sz w:val="28"/>
          <w:szCs w:val="28"/>
        </w:rPr>
      </w:pPr>
      <w:r>
        <w:rPr>
          <w:rFonts w:ascii="Arial" w:hAnsi="Arial" w:cs="Arial"/>
          <w:b/>
          <w:bCs/>
          <w:color w:val="00AAE1"/>
          <w:sz w:val="28"/>
          <w:szCs w:val="28"/>
        </w:rPr>
        <w:t>Informations d’installation</w:t>
      </w:r>
    </w:p>
    <w:p w14:paraId="2C1F1AD4" w14:textId="5DEE1160" w:rsidR="00661696" w:rsidRDefault="00C214FD">
      <w:pPr>
        <w:rPr>
          <w:rFonts w:ascii="Arial" w:hAnsi="Arial" w:cs="Arial"/>
          <w:color w:val="737373"/>
        </w:rPr>
      </w:pPr>
      <w:r>
        <w:rPr>
          <w:rFonts w:ascii="Arial" w:hAnsi="Arial" w:cs="Arial"/>
          <w:color w:val="737373"/>
        </w:rPr>
        <w:t>Tous les éléments du système sont livrés à plat dans un emballage carton protégeant le matériel avec double identification des produits (étiquette + marquage intérieur). Chaque produit ou ensemble de produits sera livré avec son manuel d’instructions et de montage.</w:t>
      </w:r>
    </w:p>
    <w:p w14:paraId="6151E7DA" w14:textId="02F0DB5C" w:rsidR="00466EC8" w:rsidRDefault="00466EC8">
      <w:pPr>
        <w:spacing w:after="200" w:line="276" w:lineRule="auto"/>
        <w:rPr>
          <w:rFonts w:ascii="Arial" w:hAnsi="Arial" w:cs="Arial"/>
          <w:b/>
          <w:bCs/>
          <w:color w:val="00AAE1"/>
          <w:sz w:val="28"/>
          <w:szCs w:val="28"/>
        </w:rPr>
      </w:pPr>
    </w:p>
    <w:p w14:paraId="6D1C0A66" w14:textId="67C7CAD0" w:rsidR="005549A7" w:rsidRDefault="005549A7">
      <w:pPr>
        <w:spacing w:after="200" w:line="276" w:lineRule="auto"/>
        <w:rPr>
          <w:rFonts w:ascii="Arial" w:hAnsi="Arial" w:cs="Arial"/>
          <w:b/>
          <w:bCs/>
          <w:color w:val="00AAE1"/>
          <w:sz w:val="28"/>
          <w:szCs w:val="28"/>
        </w:rPr>
      </w:pPr>
    </w:p>
    <w:p w14:paraId="76BC83B9" w14:textId="39163B35" w:rsidR="005549A7" w:rsidRDefault="005549A7">
      <w:pPr>
        <w:spacing w:after="200" w:line="276" w:lineRule="auto"/>
        <w:rPr>
          <w:rFonts w:ascii="Arial" w:hAnsi="Arial" w:cs="Arial"/>
          <w:b/>
          <w:bCs/>
          <w:color w:val="00AAE1"/>
          <w:sz w:val="28"/>
          <w:szCs w:val="28"/>
        </w:rPr>
      </w:pPr>
    </w:p>
    <w:p w14:paraId="24EA226B" w14:textId="77777777" w:rsidR="005549A7" w:rsidRDefault="005549A7">
      <w:pPr>
        <w:spacing w:after="200" w:line="276" w:lineRule="auto"/>
        <w:rPr>
          <w:rFonts w:ascii="Arial" w:hAnsi="Arial" w:cs="Arial"/>
          <w:b/>
          <w:bCs/>
          <w:color w:val="00AAE1"/>
          <w:sz w:val="28"/>
          <w:szCs w:val="28"/>
        </w:rPr>
      </w:pPr>
    </w:p>
    <w:p w14:paraId="60549290" w14:textId="77777777" w:rsidR="005E58CA" w:rsidRDefault="005E58CA" w:rsidP="00C34D2A">
      <w:pPr>
        <w:spacing w:after="200" w:line="276" w:lineRule="auto"/>
        <w:jc w:val="right"/>
        <w:rPr>
          <w:rFonts w:ascii="Arial" w:hAnsi="Arial" w:cs="Arial"/>
          <w:b/>
          <w:bCs/>
          <w:color w:val="00AAE1"/>
          <w:sz w:val="28"/>
          <w:szCs w:val="28"/>
        </w:rPr>
      </w:pPr>
    </w:p>
    <w:p w14:paraId="21D6F362" w14:textId="375C0C55" w:rsidR="00466EC8" w:rsidRDefault="00466EC8" w:rsidP="00466EC8">
      <w:pPr>
        <w:rPr>
          <w:rFonts w:ascii="Arial" w:hAnsi="Arial" w:cs="Arial"/>
          <w:b/>
          <w:bCs/>
          <w:color w:val="00B0F0"/>
          <w:sz w:val="28"/>
          <w:szCs w:val="28"/>
        </w:rPr>
      </w:pPr>
      <w:r>
        <w:rPr>
          <w:rFonts w:ascii="Arial" w:hAnsi="Arial" w:cs="Arial"/>
          <w:b/>
          <w:bCs/>
          <w:color w:val="00AAE1"/>
          <w:sz w:val="28"/>
          <w:szCs w:val="28"/>
        </w:rPr>
        <w:lastRenderedPageBreak/>
        <w:t>Aide à la rédaction</w:t>
      </w:r>
    </w:p>
    <w:p w14:paraId="413A3A05" w14:textId="102CAC00" w:rsidR="00466EC8" w:rsidRDefault="00466EC8" w:rsidP="00466EC8">
      <w:r>
        <w:t xml:space="preserve">Le tableau de distribution d’énergie basse tension sera réalisé avec des enveloppes </w:t>
      </w:r>
      <w:proofErr w:type="spellStart"/>
      <w:r>
        <w:t>quadro</w:t>
      </w:r>
      <w:proofErr w:type="spellEnd"/>
      <w:r>
        <w:t xml:space="preserve"> </w:t>
      </w:r>
      <w:proofErr w:type="spellStart"/>
      <w:r>
        <w:t>evo</w:t>
      </w:r>
      <w:proofErr w:type="spellEnd"/>
      <w:r>
        <w:t xml:space="preserve"> en tôle d’acier de couleur </w:t>
      </w:r>
      <w:proofErr w:type="spellStart"/>
      <w:r>
        <w:t>Ral</w:t>
      </w:r>
      <w:proofErr w:type="spellEnd"/>
      <w:r>
        <w:t xml:space="preserve"> 9010. Ces cellules sont juxtaposables en largeur et en profondeur et s’adaptent aux contraintes de l’installation et du chantier.</w:t>
      </w:r>
    </w:p>
    <w:p w14:paraId="71D0B013" w14:textId="3F3A36FB" w:rsidR="00466EC8" w:rsidRDefault="00466EC8" w:rsidP="00466EC8">
      <w:r>
        <w:t xml:space="preserve">Les armoires sont disponibles en largeur, 450/700/900 et 1000 mm, et en profondeur, 400, 600, 800 ou 1000 (600+400) mm pour une hauteur hors socle de 1900 mm et de 2100 </w:t>
      </w:r>
      <w:proofErr w:type="spellStart"/>
      <w:r>
        <w:t>mm.</w:t>
      </w:r>
      <w:proofErr w:type="spellEnd"/>
      <w:r>
        <w:t xml:space="preserve"> Des socles de 100 mm ou (3x100) de hauteur sont disponibles dans l’offre.</w:t>
      </w:r>
    </w:p>
    <w:p w14:paraId="6DFFB612" w14:textId="77777777" w:rsidR="00466EC8" w:rsidRDefault="00466EC8" w:rsidP="00466EC8">
      <w:r>
        <w:t>Ces ensembles sont destinés à être installés et utilisés en intérieur dans des locaux électriques en pose fixe selon le paragraphe 7.1 de la norme IEC 61439-1.</w:t>
      </w:r>
    </w:p>
    <w:p w14:paraId="7F1BF762" w14:textId="6222EDC8" w:rsidR="00466EC8" w:rsidRDefault="00466EC8" w:rsidP="00466EC8">
      <w:r>
        <w:t>Les corps d’armoire ainsi que toutes les pièces d’habillage sont mises en peinture après traitement électrophorèse, puis revêtue de poudre époxy polyester polymérisée à chaud, avec une finition lisse</w:t>
      </w:r>
      <w:r w:rsidR="00CD52C8">
        <w:t xml:space="preserve"> t</w:t>
      </w:r>
      <w:r>
        <w:t xml:space="preserve">einte </w:t>
      </w:r>
      <w:proofErr w:type="spellStart"/>
      <w:r>
        <w:t>Ral</w:t>
      </w:r>
      <w:proofErr w:type="spellEnd"/>
      <w:r>
        <w:t xml:space="preserve"> 9010, pour l’habillage, </w:t>
      </w:r>
      <w:proofErr w:type="spellStart"/>
      <w:r>
        <w:t>Ral</w:t>
      </w:r>
      <w:proofErr w:type="spellEnd"/>
      <w:r>
        <w:t xml:space="preserve"> 7042 pour les socles.</w:t>
      </w:r>
    </w:p>
    <w:p w14:paraId="7D73DE5F" w14:textId="77777777" w:rsidR="00CD52C8" w:rsidRDefault="00CD52C8" w:rsidP="00466EC8"/>
    <w:p w14:paraId="018C52CA" w14:textId="765A336D" w:rsidR="00CD52C8" w:rsidRPr="00CD52C8" w:rsidRDefault="00CD52C8" w:rsidP="00466EC8">
      <w:pPr>
        <w:rPr>
          <w:b/>
          <w:bCs/>
        </w:rPr>
      </w:pPr>
      <w:r w:rsidRPr="00CD52C8">
        <w:rPr>
          <w:b/>
          <w:bCs/>
        </w:rPr>
        <w:t>STRUCTURE ET COMPOSITION DES ARMOIRES</w:t>
      </w:r>
    </w:p>
    <w:p w14:paraId="6CADEEDE" w14:textId="71090186" w:rsidR="00466EC8" w:rsidRDefault="00466EC8" w:rsidP="00466EC8">
      <w:r>
        <w:t>Le corps d’armoire est composé d’un cadre haut et bas qui définissent la largeur et la profondeur d’armoire. La hauteur de l’armoire 1900 ou 2100mm est obtenue en rajoutant les montants verticaux.</w:t>
      </w:r>
    </w:p>
    <w:p w14:paraId="67B1BBF9" w14:textId="77777777" w:rsidR="00466EC8" w:rsidRDefault="00466EC8" w:rsidP="00466EC8">
      <w:r>
        <w:t>Le système autorise la juxtaposition latérale et en profondeur des cellules.</w:t>
      </w:r>
    </w:p>
    <w:p w14:paraId="181F2824" w14:textId="24E810F8" w:rsidR="00466EC8" w:rsidRDefault="00466EC8" w:rsidP="00466EC8">
      <w:r>
        <w:t>Le système d’enveloppe s’adapte très facilement à la configuration des locaux. Des armoires d’angles complètes formant continuité globale des parois et de la forme du tableau permettent de réaliser un tableau en « U ou L ».</w:t>
      </w:r>
    </w:p>
    <w:p w14:paraId="6CE0CF9D" w14:textId="03053299" w:rsidR="00466EC8" w:rsidRDefault="00466EC8" w:rsidP="00466EC8">
      <w:r>
        <w:t>Les enveloppes permettront l’intégration d’un châssis double face pour le montage de l’appareillage dos à dos si nécessaire.</w:t>
      </w:r>
    </w:p>
    <w:p w14:paraId="681A723A" w14:textId="3D966BB5" w:rsidR="00466EC8" w:rsidRDefault="00466EC8" w:rsidP="00466EC8">
      <w:r>
        <w:t>Les cellules peuvent être équipées de kits pour la distribution électrique, de systèmes de jeu de barres, et/ou de gaine à câbles. Elles permettent également le montage d’appareillages modulaires sur rails DIN.</w:t>
      </w:r>
    </w:p>
    <w:p w14:paraId="7AB083A9" w14:textId="77777777" w:rsidR="00466EC8" w:rsidRDefault="00466EC8" w:rsidP="00466EC8">
      <w:r>
        <w:t>Les enveloppes devront conserver leur rigidité après installation des kits et raccordement des câbles.</w:t>
      </w:r>
    </w:p>
    <w:p w14:paraId="7E524FB8" w14:textId="7C38082B" w:rsidR="00466EC8" w:rsidRDefault="00466EC8" w:rsidP="00466EC8">
      <w:r>
        <w:t xml:space="preserve">La fermeture </w:t>
      </w:r>
      <w:r w:rsidR="005549A7">
        <w:t xml:space="preserve">de </w:t>
      </w:r>
      <w:r>
        <w:t>type poignée à</w:t>
      </w:r>
      <w:r w:rsidR="00201FC0">
        <w:t xml:space="preserve"> levier </w:t>
      </w:r>
      <w:r>
        <w:t>pivot</w:t>
      </w:r>
      <w:r w:rsidR="00201FC0">
        <w:t>ant</w:t>
      </w:r>
      <w:r>
        <w:t xml:space="preserve"> </w:t>
      </w:r>
      <w:r w:rsidR="005549A7">
        <w:t xml:space="preserve">peut être modifiée </w:t>
      </w:r>
      <w:r>
        <w:t>vers d’autres systèmes de fermeture</w:t>
      </w:r>
      <w:r w:rsidR="005549A7">
        <w:t xml:space="preserve"> (clé 405 par exemple)</w:t>
      </w:r>
      <w:r>
        <w:t xml:space="preserve">. Les charnières </w:t>
      </w:r>
      <w:proofErr w:type="spellStart"/>
      <w:r>
        <w:t>pré-montées</w:t>
      </w:r>
      <w:proofErr w:type="spellEnd"/>
      <w:r>
        <w:t xml:space="preserve"> de part et d’autre des montants permettent la réversibilité du sens d’ouverture de la porte sans démontage.</w:t>
      </w:r>
    </w:p>
    <w:p w14:paraId="36C9339D" w14:textId="3D735900" w:rsidR="00466EC8" w:rsidRDefault="00466EC8" w:rsidP="00466EC8">
      <w:r>
        <w:t xml:space="preserve">L’indice de protection des enveloppes est IP30 minimum avec plastrons </w:t>
      </w:r>
      <w:r w:rsidR="00201FC0">
        <w:t>(</w:t>
      </w:r>
      <w:r>
        <w:t>sans porte</w:t>
      </w:r>
      <w:r w:rsidR="00201FC0">
        <w:t>)</w:t>
      </w:r>
      <w:r>
        <w:t>, ou IP55 avec plastrons et porte pleine ou transparente.</w:t>
      </w:r>
    </w:p>
    <w:p w14:paraId="6212ADFF" w14:textId="27877C46" w:rsidR="00466EC8" w:rsidRDefault="00466EC8" w:rsidP="00466EC8">
      <w:r>
        <w:t xml:space="preserve">La conception du tableau permet l'entrée des câbles indifféremment par le bas ou par le haut par utilisation de plaques de fermeture pleine ou avec ouvertures </w:t>
      </w:r>
      <w:proofErr w:type="spellStart"/>
      <w:r>
        <w:t>défonçables</w:t>
      </w:r>
      <w:proofErr w:type="spellEnd"/>
      <w:r>
        <w:t xml:space="preserve"> à monter en partie haute ou basse.</w:t>
      </w:r>
    </w:p>
    <w:p w14:paraId="13B75ABB" w14:textId="7C206E7A" w:rsidR="005E58CA" w:rsidRDefault="005E58CA" w:rsidP="00466EC8"/>
    <w:p w14:paraId="033B4785" w14:textId="14335CE9" w:rsidR="005E58CA" w:rsidRDefault="005E58CA" w:rsidP="00466EC8"/>
    <w:p w14:paraId="118014D7" w14:textId="79AC3D71" w:rsidR="005E58CA" w:rsidRDefault="005E58CA" w:rsidP="00466EC8"/>
    <w:p w14:paraId="5FBE00E0" w14:textId="77777777" w:rsidR="005E58CA" w:rsidRDefault="005E58CA" w:rsidP="00466EC8"/>
    <w:p w14:paraId="2989F29D" w14:textId="5A24939A" w:rsidR="00CD52C8" w:rsidRPr="00CD52C8" w:rsidRDefault="00CD52C8" w:rsidP="00466EC8">
      <w:pPr>
        <w:rPr>
          <w:b/>
          <w:bCs/>
        </w:rPr>
      </w:pPr>
      <w:r w:rsidRPr="00CD52C8">
        <w:rPr>
          <w:b/>
          <w:bCs/>
        </w:rPr>
        <w:lastRenderedPageBreak/>
        <w:t>JEUX DE BARRES</w:t>
      </w:r>
    </w:p>
    <w:p w14:paraId="57C3220A" w14:textId="77777777" w:rsidR="00466EC8" w:rsidRDefault="00466EC8" w:rsidP="00466EC8">
      <w:r>
        <w:t>L’ensemble des jeux de barres qu’ils soient principaux, ou secondaires permettent de véhiculer et d’assurer la distribution de courant et de relier les appareils. Les sections des barres de cuivre doivent être en adéquation avec l'intensité à véhiculer pour un échauffement donné, le tout devant contribuer au bon fonctionnement du tableau électrique.</w:t>
      </w:r>
    </w:p>
    <w:p w14:paraId="1D21DB11" w14:textId="607A3D35" w:rsidR="00466EC8" w:rsidRDefault="00466EC8" w:rsidP="00466EC8">
      <w:r>
        <w:t>Le jeu de barres horizontal peut se positionner dans le haut, le bas ou au milieu de l’enveloppe.</w:t>
      </w:r>
      <w:r w:rsidR="00CD52C8">
        <w:t xml:space="preserve"> </w:t>
      </w:r>
      <w:r>
        <w:t>La distance entre supports est fonction de l’intensité du courant de court-circuit, la distance entre phases peut être adaptée en fonction de la profondeur de l’enveloppe.</w:t>
      </w:r>
    </w:p>
    <w:p w14:paraId="1B273E64" w14:textId="415EFC3F" w:rsidR="00466EC8" w:rsidRDefault="00466EC8" w:rsidP="00466EC8">
      <w:r>
        <w:t>Le jeu de barres vertical peut se monter indifféremment à gauche ou à droite de la cellule.</w:t>
      </w:r>
      <w:r w:rsidR="00CD52C8">
        <w:t xml:space="preserve"> Il </w:t>
      </w:r>
      <w:r>
        <w:t>permettra un raccordement des départs sur toute sa hauteur utile et sur toutes les barres.</w:t>
      </w:r>
    </w:p>
    <w:p w14:paraId="17AB096E" w14:textId="71A63C09" w:rsidR="00995866" w:rsidRDefault="00995866" w:rsidP="00995866">
      <w:r>
        <w:t xml:space="preserve">Les supports de jeux de barres seront réalisés avec un matériel de même marque que le tableau. Il sera notamment prêté une attention particulière à leur disposition </w:t>
      </w:r>
      <w:r w:rsidR="002C4ABE">
        <w:t xml:space="preserve">notamment </w:t>
      </w:r>
      <w:r>
        <w:t xml:space="preserve">au niveau des jeux de barres principaux afin de garantir la tenue aux efforts électrodynamiques générés en cas de court-circuit. </w:t>
      </w:r>
      <w:r w:rsidR="00B92A34">
        <w:t>Pour rappel, l</w:t>
      </w:r>
      <w:r>
        <w:t>a tenue intrinsèque d’un tableau au courant de court-circuit doit être supérieure à la valeur de l’intensité de court-circuit calculée au niveau du tableau.</w:t>
      </w:r>
    </w:p>
    <w:p w14:paraId="52AB2781" w14:textId="0C8FDA31" w:rsidR="00CD52C8" w:rsidRPr="00CD52C8" w:rsidRDefault="00CD52C8" w:rsidP="00466EC8">
      <w:pPr>
        <w:rPr>
          <w:b/>
          <w:bCs/>
        </w:rPr>
      </w:pPr>
      <w:r w:rsidRPr="00CD52C8">
        <w:rPr>
          <w:b/>
          <w:bCs/>
        </w:rPr>
        <w:t>FORMES</w:t>
      </w:r>
    </w:p>
    <w:p w14:paraId="4B91441D" w14:textId="474DCF78" w:rsidR="00466EC8" w:rsidRDefault="00466EC8" w:rsidP="00466EC8">
      <w:r>
        <w:t>Chaque cellule pourra être équipée d’un compartimentage pour jeu de barres horizontal et vertical</w:t>
      </w:r>
      <w:r w:rsidR="00CD52C8">
        <w:t xml:space="preserve"> afin de réaliser à minima une forme 2b</w:t>
      </w:r>
      <w:r w:rsidR="00201FC0">
        <w:t xml:space="preserve"> afin de garantir la sécurité des intervenants et de privilégier la continuité de service.</w:t>
      </w:r>
    </w:p>
    <w:p w14:paraId="5052D6B8" w14:textId="34B7AA8E" w:rsidR="00CD52C8" w:rsidRDefault="00CD52C8" w:rsidP="00466EC8">
      <w:r>
        <w:t>Lors de l’utilisation d’indices de services</w:t>
      </w:r>
      <w:r w:rsidR="00201FC0">
        <w:t xml:space="preserve"> (</w:t>
      </w:r>
      <w:proofErr w:type="spellStart"/>
      <w:r w:rsidR="00201FC0">
        <w:t>ISxxx</w:t>
      </w:r>
      <w:proofErr w:type="spellEnd"/>
      <w:r w:rsidR="00201FC0">
        <w:t>)</w:t>
      </w:r>
      <w:r>
        <w:t xml:space="preserve"> </w:t>
      </w:r>
      <w:r w:rsidR="005E58CA">
        <w:t>y faisant appel</w:t>
      </w:r>
      <w:r>
        <w:t xml:space="preserve">, il sera possible de </w:t>
      </w:r>
      <w:r w:rsidR="00466EC8">
        <w:t xml:space="preserve">réaliser la </w:t>
      </w:r>
      <w:r>
        <w:t>f</w:t>
      </w:r>
      <w:r w:rsidR="00466EC8">
        <w:t>orme 3</w:t>
      </w:r>
      <w:r w:rsidR="00201FC0">
        <w:t>b</w:t>
      </w:r>
      <w:r>
        <w:t xml:space="preserve"> (séparation des </w:t>
      </w:r>
      <w:r w:rsidR="00466EC8">
        <w:t>différents dispositifs les uns par rapport aux autres</w:t>
      </w:r>
      <w:r>
        <w:t>)</w:t>
      </w:r>
    </w:p>
    <w:p w14:paraId="1EEEF8CF" w14:textId="0516CB60" w:rsidR="00466EC8" w:rsidRDefault="00CD52C8" w:rsidP="00466EC8">
      <w:r>
        <w:t>La séparation des connections externe</w:t>
      </w:r>
      <w:r w:rsidR="005E58CA">
        <w:t>s</w:t>
      </w:r>
      <w:r>
        <w:t xml:space="preserve"> est également possible par ajout des cloisonnement de forme </w:t>
      </w:r>
      <w:r w:rsidR="00466EC8">
        <w:t>4</w:t>
      </w:r>
      <w:r w:rsidR="00201FC0">
        <w:t>b</w:t>
      </w:r>
      <w:r w:rsidR="00466EC8">
        <w:t>.</w:t>
      </w:r>
    </w:p>
    <w:p w14:paraId="79098F73" w14:textId="3EAAEA1C" w:rsidR="00CD52C8" w:rsidRDefault="00CD52C8" w:rsidP="00466EC8">
      <w:r>
        <w:t xml:space="preserve">Les cloisonnements seront réalisés à l’aide d’éléments préfabriqués </w:t>
      </w:r>
      <w:r w:rsidR="007C1736">
        <w:t xml:space="preserve">de même </w:t>
      </w:r>
      <w:r>
        <w:t xml:space="preserve">marque </w:t>
      </w:r>
      <w:r w:rsidR="007C1736">
        <w:t xml:space="preserve">que le </w:t>
      </w:r>
      <w:r>
        <w:t>matériel des cellules.</w:t>
      </w:r>
    </w:p>
    <w:p w14:paraId="733940E5" w14:textId="0CB76B4F" w:rsidR="007C1736" w:rsidRPr="00CD52C8" w:rsidRDefault="007C1736" w:rsidP="007C1736">
      <w:pPr>
        <w:rPr>
          <w:b/>
          <w:bCs/>
        </w:rPr>
      </w:pPr>
      <w:r>
        <w:rPr>
          <w:b/>
          <w:bCs/>
        </w:rPr>
        <w:t>KITS D’EQUIPEMENT</w:t>
      </w:r>
    </w:p>
    <w:p w14:paraId="2C6216B8" w14:textId="11925224" w:rsidR="00995866" w:rsidRDefault="00995866" w:rsidP="00995866">
      <w:r>
        <w:t>L’utilisation de montants fonctionnels toute hauteur, avec jeu de barres ou partiels permettra d’intégrer dans une même enveloppe tous les types de montage et tous les types d’appareils.</w:t>
      </w:r>
    </w:p>
    <w:p w14:paraId="7A0E56F7" w14:textId="0F327CD4" w:rsidR="00995866" w:rsidRDefault="00466EC8" w:rsidP="00466EC8">
      <w:r>
        <w:t xml:space="preserve">Les kits d’équipements </w:t>
      </w:r>
      <w:r w:rsidR="00995866">
        <w:t xml:space="preserve">de classe I </w:t>
      </w:r>
      <w:r>
        <w:t>s</w:t>
      </w:r>
      <w:r w:rsidR="00995866">
        <w:t>er</w:t>
      </w:r>
      <w:r>
        <w:t>ont livrés avec une platine de montage pour la fixation de l’appareillage et un plastron permettant d’obtenir un indice de protection IP30.</w:t>
      </w:r>
      <w:r w:rsidR="00995866">
        <w:t xml:space="preserve"> La classe II pourra t être réalisée par simple ajout d’isolateurs au niveau de la fixation de la platine des appareils à boitiers moulés. </w:t>
      </w:r>
    </w:p>
    <w:p w14:paraId="5A9DF7D8" w14:textId="5A2289D3" w:rsidR="00466EC8" w:rsidRDefault="00466EC8" w:rsidP="00466EC8">
      <w:r>
        <w:t xml:space="preserve">Les plastrons peuvent être équipés </w:t>
      </w:r>
      <w:r w:rsidR="007C1736">
        <w:t xml:space="preserve">en option </w:t>
      </w:r>
      <w:r>
        <w:t xml:space="preserve">de charnières pour obtenir une ouverture à gauche ou à droite. La vis de fermeture </w:t>
      </w:r>
      <w:r w:rsidR="007C1736">
        <w:t xml:space="preserve">métallique </w:t>
      </w:r>
      <w:r>
        <w:t>assure également la mise à la terre du plastron</w:t>
      </w:r>
      <w:r w:rsidR="007C1736">
        <w:t xml:space="preserve"> sans nécessité de réalisation de mise à la terre supplémentaire par câblette ou autre moyen</w:t>
      </w:r>
      <w:r>
        <w:t>.</w:t>
      </w:r>
    </w:p>
    <w:p w14:paraId="42262D9E" w14:textId="77777777" w:rsidR="00466EC8" w:rsidRDefault="00466EC8" w:rsidP="00466EC8">
      <w:r>
        <w:t>Les plaques de montage des appareils sont fixées aux montants fonctionnels verticaux au moyen de vis.</w:t>
      </w:r>
    </w:p>
    <w:p w14:paraId="31A0E8B5" w14:textId="77777777" w:rsidR="005549A7" w:rsidRDefault="005549A7" w:rsidP="00574C66">
      <w:pPr>
        <w:rPr>
          <w:b/>
          <w:bCs/>
        </w:rPr>
      </w:pPr>
    </w:p>
    <w:p w14:paraId="4273D36F" w14:textId="77777777" w:rsidR="005549A7" w:rsidRDefault="005549A7" w:rsidP="00574C66">
      <w:pPr>
        <w:rPr>
          <w:b/>
          <w:bCs/>
        </w:rPr>
      </w:pPr>
    </w:p>
    <w:p w14:paraId="719B376B" w14:textId="77777777" w:rsidR="005549A7" w:rsidRDefault="005549A7" w:rsidP="00574C66">
      <w:pPr>
        <w:rPr>
          <w:b/>
          <w:bCs/>
        </w:rPr>
      </w:pPr>
    </w:p>
    <w:p w14:paraId="16CA25E5" w14:textId="77777777" w:rsidR="005549A7" w:rsidRDefault="005549A7" w:rsidP="00574C66">
      <w:pPr>
        <w:rPr>
          <w:b/>
          <w:bCs/>
        </w:rPr>
      </w:pPr>
    </w:p>
    <w:p w14:paraId="33EC0682" w14:textId="77777777" w:rsidR="005549A7" w:rsidRDefault="005549A7" w:rsidP="00574C66">
      <w:pPr>
        <w:rPr>
          <w:b/>
          <w:bCs/>
        </w:rPr>
      </w:pPr>
    </w:p>
    <w:p w14:paraId="63EF8A7D" w14:textId="641C7CC9" w:rsidR="00574C66" w:rsidRPr="00CD52C8" w:rsidRDefault="00201FC0" w:rsidP="00574C66">
      <w:pPr>
        <w:rPr>
          <w:b/>
          <w:bCs/>
        </w:rPr>
      </w:pPr>
      <w:r>
        <w:rPr>
          <w:b/>
          <w:bCs/>
        </w:rPr>
        <w:t>CONTINUITE DE SERVICE</w:t>
      </w:r>
    </w:p>
    <w:p w14:paraId="2B3A1BA9" w14:textId="70D0618B" w:rsidR="00F261D6" w:rsidRDefault="00F261D6" w:rsidP="00574C66">
      <w:r>
        <w:t xml:space="preserve">Le système de distribution </w:t>
      </w:r>
      <w:proofErr w:type="spellStart"/>
      <w:r>
        <w:t>quadro</w:t>
      </w:r>
      <w:proofErr w:type="spellEnd"/>
      <w:r>
        <w:t xml:space="preserve"> </w:t>
      </w:r>
      <w:proofErr w:type="spellStart"/>
      <w:r>
        <w:t>evo</w:t>
      </w:r>
      <w:proofErr w:type="spellEnd"/>
      <w:r>
        <w:t xml:space="preserve"> propose différentes configurations pour la réalisation des unités fonctionnelles </w:t>
      </w:r>
      <w:r w:rsidR="004E3025">
        <w:t xml:space="preserve">de départ </w:t>
      </w:r>
      <w:r>
        <w:t>afin d’adresser la problématique de la continuité de service lors des phase d’exploitation, de maintenance et d’évolution future de l’ensemble livré.</w:t>
      </w:r>
    </w:p>
    <w:p w14:paraId="1105CC9F" w14:textId="28198F93" w:rsidR="00201FC0" w:rsidRDefault="00F261D6" w:rsidP="00F261D6">
      <w:r>
        <w:t xml:space="preserve">Ainsi, le tableau réalisé permettra de répondre aux prescriptions de l’indice de service défini selon le guide </w:t>
      </w:r>
      <w:r w:rsidR="00201FC0">
        <w:t>UTE C 63</w:t>
      </w:r>
      <w:r>
        <w:t> </w:t>
      </w:r>
      <w:r w:rsidR="00201FC0">
        <w:t>429</w:t>
      </w:r>
      <w:r>
        <w:t>.</w:t>
      </w:r>
    </w:p>
    <w:p w14:paraId="7FD21337" w14:textId="1C3E1F37" w:rsidR="0013492A" w:rsidRPr="0013492A" w:rsidRDefault="00DA117C" w:rsidP="00574C66">
      <w:pPr>
        <w:rPr>
          <w:i/>
          <w:iCs/>
        </w:rPr>
      </w:pPr>
      <w:r>
        <w:rPr>
          <w:i/>
          <w:iCs/>
        </w:rPr>
        <w:t>I</w:t>
      </w:r>
      <w:r w:rsidR="0013492A" w:rsidRPr="0013492A">
        <w:rPr>
          <w:i/>
          <w:iCs/>
        </w:rPr>
        <w:t xml:space="preserve">ndices de service </w:t>
      </w:r>
      <w:r>
        <w:rPr>
          <w:i/>
          <w:iCs/>
        </w:rPr>
        <w:t>faisant appel à la technologie de tableau fixe</w:t>
      </w:r>
    </w:p>
    <w:p w14:paraId="2B2055FF" w14:textId="4B0D1F19" w:rsidR="00F261D6" w:rsidRDefault="00F261D6" w:rsidP="00574C66">
      <w:r>
        <w:t>IS211</w:t>
      </w:r>
      <w:r w:rsidR="0013492A">
        <w:t xml:space="preserve"> – technologie tableau fixe – kits </w:t>
      </w:r>
      <w:proofErr w:type="spellStart"/>
      <w:r w:rsidR="0013492A">
        <w:t>quadro</w:t>
      </w:r>
      <w:proofErr w:type="spellEnd"/>
      <w:r w:rsidR="0013492A">
        <w:t xml:space="preserve"> </w:t>
      </w:r>
      <w:proofErr w:type="spellStart"/>
      <w:r w:rsidR="0013492A">
        <w:t>evo</w:t>
      </w:r>
      <w:proofErr w:type="spellEnd"/>
      <w:r w:rsidR="00DA117C">
        <w:t xml:space="preserve"> disjoncteurs fixes</w:t>
      </w:r>
      <w:r w:rsidR="0013492A">
        <w:t xml:space="preserve"> – FFF – forme 2b – emplacement libre pour la réserve</w:t>
      </w:r>
      <w:r w:rsidR="002C4ABE">
        <w:t>. L’ajout ou le remplacement d’appareil nécessitera l’arrêt complet du tableau.</w:t>
      </w:r>
    </w:p>
    <w:p w14:paraId="19DE12EF" w14:textId="77777777" w:rsidR="004E3025" w:rsidRDefault="004E3025" w:rsidP="00574C66"/>
    <w:p w14:paraId="71DCB816" w14:textId="4712A2BD" w:rsidR="00DA117C" w:rsidRDefault="0013492A" w:rsidP="00574C66">
      <w:r>
        <w:t>IS2</w:t>
      </w:r>
      <w:r w:rsidR="00DA117C" w:rsidRPr="009612BB">
        <w:t>2</w:t>
      </w:r>
      <w:r>
        <w:t xml:space="preserve">2 – technologie tableau fixe – kits </w:t>
      </w:r>
      <w:proofErr w:type="spellStart"/>
      <w:r>
        <w:t>quadro</w:t>
      </w:r>
      <w:proofErr w:type="spellEnd"/>
      <w:r>
        <w:t xml:space="preserve"> </w:t>
      </w:r>
      <w:proofErr w:type="spellStart"/>
      <w:r>
        <w:t>evo</w:t>
      </w:r>
      <w:proofErr w:type="spellEnd"/>
      <w:r w:rsidR="00DA117C">
        <w:t xml:space="preserve"> disjoncteurs </w:t>
      </w:r>
      <w:proofErr w:type="spellStart"/>
      <w:r w:rsidR="00DA117C">
        <w:t>déconnectables</w:t>
      </w:r>
      <w:proofErr w:type="spellEnd"/>
      <w:r>
        <w:t xml:space="preserve"> – </w:t>
      </w:r>
      <w:r w:rsidR="00DA117C">
        <w:t>DDD</w:t>
      </w:r>
      <w:r>
        <w:t xml:space="preserve"> – forme </w:t>
      </w:r>
      <w:r w:rsidR="009612BB">
        <w:t>3</w:t>
      </w:r>
      <w:r>
        <w:t xml:space="preserve">b – réserve définie à l’avance, socles </w:t>
      </w:r>
      <w:proofErr w:type="spellStart"/>
      <w:r>
        <w:t>déconnectables</w:t>
      </w:r>
      <w:proofErr w:type="spellEnd"/>
      <w:r>
        <w:t xml:space="preserve"> intégrés lors de la livraison de l’armoire.</w:t>
      </w:r>
      <w:r w:rsidR="00DA117C">
        <w:t xml:space="preserve"> L’ajout d’un nouveau départ pourra s’effectuer sur ces socles en laissant le tableau sous tension</w:t>
      </w:r>
      <w:r w:rsidR="002C4ABE">
        <w:t>. Le remplacement d’un appareil se limitera à la mise hors tension dudit appareil et ne nécessitera aucune intervention au niveau de la connexion avale des câbles sur l’appareil.</w:t>
      </w:r>
    </w:p>
    <w:p w14:paraId="35583C34" w14:textId="77777777" w:rsidR="00F261D6" w:rsidRDefault="00F261D6" w:rsidP="00574C66"/>
    <w:p w14:paraId="72AB4775" w14:textId="4FAD06F2" w:rsidR="0013492A" w:rsidRPr="0013492A" w:rsidRDefault="0013492A" w:rsidP="0013492A">
      <w:pPr>
        <w:rPr>
          <w:i/>
          <w:iCs/>
        </w:rPr>
      </w:pPr>
      <w:r w:rsidRPr="0013492A">
        <w:rPr>
          <w:i/>
          <w:iCs/>
        </w:rPr>
        <w:t xml:space="preserve">Indices de service </w:t>
      </w:r>
      <w:r w:rsidR="00DA117C">
        <w:rPr>
          <w:i/>
          <w:iCs/>
        </w:rPr>
        <w:t xml:space="preserve">faisant appel à la technologie de tableau </w:t>
      </w:r>
      <w:proofErr w:type="spellStart"/>
      <w:r w:rsidR="00DA117C">
        <w:rPr>
          <w:i/>
          <w:iCs/>
        </w:rPr>
        <w:t>déconnectable</w:t>
      </w:r>
      <w:proofErr w:type="spellEnd"/>
      <w:r w:rsidR="00DA117C">
        <w:rPr>
          <w:i/>
          <w:iCs/>
        </w:rPr>
        <w:t xml:space="preserve"> </w:t>
      </w:r>
      <w:r w:rsidRPr="0013492A">
        <w:rPr>
          <w:i/>
          <w:iCs/>
        </w:rPr>
        <w:t>permettant la maintenance et l’évolution du tableau sous tension pour privilégier la continuité de service</w:t>
      </w:r>
    </w:p>
    <w:p w14:paraId="484781B4" w14:textId="7813FBC9" w:rsidR="0013492A" w:rsidRDefault="0013492A" w:rsidP="0013492A">
      <w:r>
        <w:t xml:space="preserve">IS223 – technologie tableau </w:t>
      </w:r>
      <w:proofErr w:type="spellStart"/>
      <w:r>
        <w:t>dé</w:t>
      </w:r>
      <w:r w:rsidR="00DA117C">
        <w:t>c</w:t>
      </w:r>
      <w:r>
        <w:t>onnectable</w:t>
      </w:r>
      <w:proofErr w:type="spellEnd"/>
      <w:r>
        <w:t xml:space="preserve"> – kits </w:t>
      </w:r>
      <w:proofErr w:type="spellStart"/>
      <w:r>
        <w:t>quadro</w:t>
      </w:r>
      <w:proofErr w:type="spellEnd"/>
      <w:r>
        <w:t xml:space="preserve"> </w:t>
      </w:r>
      <w:proofErr w:type="spellStart"/>
      <w:r>
        <w:t>evo</w:t>
      </w:r>
      <w:proofErr w:type="spellEnd"/>
      <w:r w:rsidR="004E3025">
        <w:t xml:space="preserve"> </w:t>
      </w:r>
      <w:r>
        <w:t>SX</w:t>
      </w:r>
      <w:r w:rsidR="004E3025">
        <w:t xml:space="preserve"> pour disjoncteurs </w:t>
      </w:r>
      <w:r w:rsidR="004E3025" w:rsidRPr="009612BB">
        <w:t>fixes</w:t>
      </w:r>
      <w:r w:rsidRPr="009612BB">
        <w:t xml:space="preserve"> – </w:t>
      </w:r>
      <w:r w:rsidR="004E3025" w:rsidRPr="009612BB">
        <w:t>D</w:t>
      </w:r>
      <w:r w:rsidRPr="009612BB">
        <w:t xml:space="preserve">FF – forme </w:t>
      </w:r>
      <w:r w:rsidR="004E3025" w:rsidRPr="009612BB">
        <w:t>3</w:t>
      </w:r>
      <w:r w:rsidRPr="009612BB">
        <w:t xml:space="preserve">b – </w:t>
      </w:r>
      <w:r>
        <w:t xml:space="preserve">réserve </w:t>
      </w:r>
      <w:r w:rsidR="004E3025">
        <w:t xml:space="preserve">non </w:t>
      </w:r>
      <w:r>
        <w:t>définie à l’avance</w:t>
      </w:r>
      <w:r w:rsidR="004E3025">
        <w:t>. L’ajout d’un nouveau départ dans la zone de réserve peut s’effectuer librement jusqu’à une taille d’appareil de 630A. Le remplacement d’un appareil nécessitera une intervention au niveau de la connexion avale des câbles directement sur l’appareil.</w:t>
      </w:r>
      <w:r w:rsidR="002C4ABE">
        <w:t xml:space="preserve"> Le remplacement d’un appareil se limitera à la mise hors tension dudit appareil et pourra nécessiter une intervention au niveau de la connexion avale des câbles sur l’appareil.</w:t>
      </w:r>
    </w:p>
    <w:p w14:paraId="3763CAD4" w14:textId="0A68EBE1" w:rsidR="0013492A" w:rsidRDefault="0013492A" w:rsidP="0013492A"/>
    <w:p w14:paraId="762DC770" w14:textId="3243D9E5" w:rsidR="0013492A" w:rsidRDefault="0013492A" w:rsidP="0013492A">
      <w:r>
        <w:t>IS233</w:t>
      </w:r>
      <w:r w:rsidR="004E3025" w:rsidRPr="004E3025">
        <w:t xml:space="preserve"> </w:t>
      </w:r>
      <w:r w:rsidR="004E3025">
        <w:t xml:space="preserve">– technologie tableau </w:t>
      </w:r>
      <w:proofErr w:type="spellStart"/>
      <w:r w:rsidR="004E3025">
        <w:t>déconnectable</w:t>
      </w:r>
      <w:proofErr w:type="spellEnd"/>
      <w:r w:rsidR="004E3025">
        <w:t xml:space="preserve"> – kits </w:t>
      </w:r>
      <w:proofErr w:type="spellStart"/>
      <w:r w:rsidR="004E3025">
        <w:t>quadro</w:t>
      </w:r>
      <w:proofErr w:type="spellEnd"/>
      <w:r w:rsidR="004E3025">
        <w:t xml:space="preserve"> </w:t>
      </w:r>
      <w:proofErr w:type="spellStart"/>
      <w:r w:rsidR="004E3025">
        <w:t>evo</w:t>
      </w:r>
      <w:proofErr w:type="spellEnd"/>
      <w:r w:rsidR="004E3025">
        <w:t xml:space="preserve"> SX pour disjoncteurs </w:t>
      </w:r>
      <w:r w:rsidR="004E3025" w:rsidRPr="009612BB">
        <w:t xml:space="preserve">fixes – DDD – forme 3b – </w:t>
      </w:r>
      <w:r w:rsidR="004E3025">
        <w:t xml:space="preserve">réserve non définie à l’avance. L’ajout d’un nouveau départ dans la zone de réserve peut s’effectuer librement jusqu’à une taille d’appareil de 630A. </w:t>
      </w:r>
      <w:r w:rsidR="002C4ABE">
        <w:t>Le remplacement d’un appareil se limitera à la mise hors tension dudit appareil et ne nécessitera aucune intervention au niveau de la connexion avale des câbles sur l’appareil.</w:t>
      </w:r>
    </w:p>
    <w:p w14:paraId="4772D8DD" w14:textId="7DB2D43F" w:rsidR="0013492A" w:rsidRPr="0013492A" w:rsidRDefault="0013492A" w:rsidP="0013492A">
      <w:pPr>
        <w:rPr>
          <w:i/>
          <w:iCs/>
        </w:rPr>
      </w:pPr>
      <w:r w:rsidRPr="0013492A">
        <w:rPr>
          <w:i/>
          <w:iCs/>
        </w:rPr>
        <w:t>Cas du/des appareil(s) d’arrivée</w:t>
      </w:r>
      <w:r w:rsidR="00E977B7">
        <w:rPr>
          <w:i/>
          <w:iCs/>
        </w:rPr>
        <w:t xml:space="preserve"> ou des appareils de départ avec taille d’appareil supérieure à 630A</w:t>
      </w:r>
    </w:p>
    <w:p w14:paraId="4A4EE1BB" w14:textId="4C3BC606" w:rsidR="00F261D6" w:rsidRDefault="00E977B7" w:rsidP="00574C66">
      <w:r>
        <w:t xml:space="preserve">L’appareil situé directement en aval d’un transformateur HT/BT </w:t>
      </w:r>
      <w:r w:rsidR="004E3025">
        <w:t xml:space="preserve">sera de type débrochable sur châssis </w:t>
      </w:r>
      <w:r>
        <w:t>intégré dans l</w:t>
      </w:r>
      <w:r w:rsidR="002C4ABE">
        <w:t>e TGBT ou éventuellement l’AGBT</w:t>
      </w:r>
      <w:r>
        <w:t>. La pose libre (exemple : appareil sur chaise) sera évitée</w:t>
      </w:r>
      <w:r w:rsidR="002C4ABE">
        <w:t xml:space="preserve">. Les appareils seront intégrés dans une enveloppe </w:t>
      </w:r>
      <w:proofErr w:type="spellStart"/>
      <w:r w:rsidR="002C4ABE">
        <w:t>quadro</w:t>
      </w:r>
      <w:proofErr w:type="spellEnd"/>
      <w:r w:rsidR="002C4ABE">
        <w:t xml:space="preserve"> </w:t>
      </w:r>
      <w:proofErr w:type="spellStart"/>
      <w:r w:rsidR="002C4ABE">
        <w:t>evo</w:t>
      </w:r>
      <w:proofErr w:type="spellEnd"/>
      <w:r>
        <w:t xml:space="preserve"> afin de garantir une sécurité maximale des personnes accédant au local électrique. Les verrouillage HT/BT seront réalisés au moyen de clés et anneau soudé lorsque nécessaire. </w:t>
      </w:r>
    </w:p>
    <w:p w14:paraId="12E84513" w14:textId="35346FEC" w:rsidR="00E977B7" w:rsidRDefault="00E977B7" w:rsidP="00574C66">
      <w:r>
        <w:t>Les appareils d’arrivée ne faisant pas office de protection de transformateur côté basse tension seront de type fixe.</w:t>
      </w:r>
    </w:p>
    <w:p w14:paraId="33482B20" w14:textId="575970A9" w:rsidR="0013492A" w:rsidRDefault="00E977B7" w:rsidP="00574C66">
      <w:r>
        <w:t xml:space="preserve">Les appareils de départ mettant en jeu une taille </w:t>
      </w:r>
      <w:r w:rsidR="009612BB">
        <w:t>de boitier</w:t>
      </w:r>
      <w:r>
        <w:t xml:space="preserve"> supérieure à 630A seront de type fixe ou </w:t>
      </w:r>
      <w:proofErr w:type="spellStart"/>
      <w:r>
        <w:t>déconnectable</w:t>
      </w:r>
      <w:proofErr w:type="spellEnd"/>
      <w:r>
        <w:t xml:space="preserve"> </w:t>
      </w:r>
      <w:r w:rsidR="0077339A">
        <w:t>en fonction de la continuité de service recherchée.</w:t>
      </w:r>
    </w:p>
    <w:p w14:paraId="6E7FE2F1" w14:textId="07EFB783" w:rsidR="00574C66" w:rsidRPr="00CD52C8" w:rsidRDefault="00574C66" w:rsidP="00574C66">
      <w:pPr>
        <w:rPr>
          <w:b/>
          <w:bCs/>
        </w:rPr>
      </w:pPr>
      <w:r>
        <w:rPr>
          <w:b/>
          <w:bCs/>
        </w:rPr>
        <w:lastRenderedPageBreak/>
        <w:t>CONTROLE DE L’ENSEMBLE LIVRE</w:t>
      </w:r>
    </w:p>
    <w:p w14:paraId="3B322852" w14:textId="726BFF56" w:rsidR="00574C66" w:rsidRDefault="00574C66" w:rsidP="00201FC0">
      <w:r>
        <w:t xml:space="preserve">L’ensemble réalisé par le constructeur d’ensemble sera accompagné d’une documentation suffisante permettant son installation et son exploitation. </w:t>
      </w:r>
      <w:r w:rsidR="00201FC0">
        <w:t>A minima, u</w:t>
      </w:r>
      <w:r>
        <w:t>n jeu de plans</w:t>
      </w:r>
      <w:r w:rsidR="00201FC0">
        <w:t xml:space="preserve"> ainsi qu’un</w:t>
      </w:r>
      <w:r>
        <w:t xml:space="preserve">e fiche récapitulative </w:t>
      </w:r>
      <w:r w:rsidR="00201FC0">
        <w:t>des vérifications de routine</w:t>
      </w:r>
      <w:r w:rsidR="002C4ABE">
        <w:t xml:space="preserve"> seront fournis.</w:t>
      </w:r>
    </w:p>
    <w:p w14:paraId="7BBDFF75" w14:textId="77777777" w:rsidR="005E7AA5" w:rsidRDefault="005E7AA5" w:rsidP="00466EC8"/>
    <w:sectPr w:rsidR="005E7AA5" w:rsidSect="0066169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B5CE4" w14:textId="77777777" w:rsidR="001D53A9" w:rsidRDefault="001D53A9" w:rsidP="00661696">
      <w:pPr>
        <w:spacing w:after="0" w:line="240" w:lineRule="auto"/>
      </w:pPr>
      <w:r>
        <w:separator/>
      </w:r>
    </w:p>
  </w:endnote>
  <w:endnote w:type="continuationSeparator" w:id="0">
    <w:p w14:paraId="5ABF2F3E" w14:textId="77777777" w:rsidR="001D53A9" w:rsidRDefault="001D53A9" w:rsidP="0066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B903" w14:textId="2DBEA4AA" w:rsidR="0019489A" w:rsidRPr="0019489A" w:rsidRDefault="0019489A" w:rsidP="0019489A">
    <w:pPr>
      <w:pStyle w:val="Pieddepage"/>
      <w:jc w:val="right"/>
      <w:rPr>
        <w:rFonts w:ascii="Arial" w:hAnsi="Arial" w:cs="Arial"/>
        <w:sz w:val="16"/>
        <w:szCs w:val="16"/>
      </w:rPr>
    </w:pPr>
    <w:r w:rsidRPr="00C63117">
      <w:rPr>
        <w:rFonts w:ascii="Arial" w:hAnsi="Arial" w:cs="Arial"/>
        <w:sz w:val="16"/>
        <w:szCs w:val="16"/>
      </w:rPr>
      <w:t xml:space="preserve">Version : </w:t>
    </w:r>
    <w:r w:rsidR="00C34D2A">
      <w:rPr>
        <w:rFonts w:ascii="Arial" w:hAnsi="Arial" w:cs="Arial"/>
        <w:sz w:val="16"/>
        <w:szCs w:val="16"/>
      </w:rPr>
      <w:t>Février</w:t>
    </w:r>
    <w:r w:rsidR="005E58CA">
      <w:rPr>
        <w:rFonts w:ascii="Arial" w:hAnsi="Arial" w:cs="Arial"/>
        <w:sz w:val="16"/>
        <w:szCs w:val="16"/>
      </w:rPr>
      <w:t xml:space="preserve"> </w:t>
    </w:r>
    <w:r w:rsidR="00BC4855">
      <w:rPr>
        <w:rFonts w:ascii="Arial" w:hAnsi="Arial" w:cs="Arial"/>
        <w:sz w:val="16"/>
        <w:szCs w:val="16"/>
      </w:rPr>
      <w:t>20</w:t>
    </w:r>
    <w:r w:rsidR="005E58CA">
      <w:rPr>
        <w:rFonts w:ascii="Arial" w:hAnsi="Arial" w:cs="Arial"/>
        <w:sz w:val="16"/>
        <w:szCs w:val="16"/>
      </w:rPr>
      <w:t>2</w:t>
    </w:r>
    <w:r w:rsidR="00C34D2A">
      <w:rP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3EB9" w14:textId="77777777" w:rsidR="001D53A9" w:rsidRDefault="001D53A9" w:rsidP="00661696">
      <w:pPr>
        <w:spacing w:after="0" w:line="240" w:lineRule="auto"/>
      </w:pPr>
      <w:r>
        <w:separator/>
      </w:r>
    </w:p>
  </w:footnote>
  <w:footnote w:type="continuationSeparator" w:id="0">
    <w:p w14:paraId="56293072" w14:textId="77777777" w:rsidR="001D53A9" w:rsidRDefault="001D53A9" w:rsidP="00661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72F0" w14:textId="77777777" w:rsidR="00661696" w:rsidRPr="006B3526" w:rsidRDefault="00661696" w:rsidP="00661696">
    <w:pPr>
      <w:pStyle w:val="En-tte"/>
      <w:rPr>
        <w:rFonts w:ascii="Arial" w:hAnsi="Arial" w:cs="Arial"/>
        <w:b/>
        <w:bCs/>
        <w:color w:val="00477E"/>
        <w:sz w:val="36"/>
        <w:szCs w:val="36"/>
      </w:rPr>
    </w:pPr>
    <w:r w:rsidRPr="006B3526">
      <w:rPr>
        <w:b/>
        <w:bCs/>
        <w:noProof/>
        <w:color w:val="00477E"/>
      </w:rPr>
      <w:drawing>
        <wp:anchor distT="0" distB="0" distL="114300" distR="114300" simplePos="0" relativeHeight="251656192" behindDoc="0" locked="0" layoutInCell="1" allowOverlap="1" wp14:anchorId="62D85223" wp14:editId="1FD3E448">
          <wp:simplePos x="0" y="0"/>
          <wp:positionH relativeFrom="column">
            <wp:posOffset>5370356</wp:posOffset>
          </wp:positionH>
          <wp:positionV relativeFrom="paragraph">
            <wp:posOffset>12589</wp:posOffset>
          </wp:positionV>
          <wp:extent cx="822960" cy="274320"/>
          <wp:effectExtent l="0" t="0" r="0" b="0"/>
          <wp:wrapNone/>
          <wp:docPr id="1" name="Image 7">
            <a:extLst xmlns:a="http://schemas.openxmlformats.org/drawingml/2006/main">
              <a:ext uri="{FF2B5EF4-FFF2-40B4-BE49-F238E27FC236}">
                <a16:creationId xmlns:a16="http://schemas.microsoft.com/office/drawing/2014/main" id="{3C040A79-BB99-4460-BDDC-9BD5B02095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3C040A79-BB99-4460-BDDC-9BD5B020955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22960" cy="274320"/>
                  </a:xfrm>
                  <a:prstGeom prst="rect">
                    <a:avLst/>
                  </a:prstGeom>
                </pic:spPr>
              </pic:pic>
            </a:graphicData>
          </a:graphic>
        </wp:anchor>
      </w:drawing>
    </w:r>
    <w:r w:rsidRPr="006B3526">
      <w:rPr>
        <w:rFonts w:ascii="Arial" w:hAnsi="Arial" w:cs="Arial"/>
        <w:b/>
        <w:bCs/>
        <w:color w:val="00477E"/>
        <w:sz w:val="36"/>
        <w:szCs w:val="36"/>
      </w:rPr>
      <w:t>Aide à la prescription</w:t>
    </w:r>
    <w:r w:rsidRPr="006B3526">
      <w:rPr>
        <w:b/>
        <w:bCs/>
        <w:noProof/>
        <w:color w:val="00477E"/>
      </w:rPr>
      <w:t xml:space="preserve">                                                                                        </w:t>
    </w:r>
  </w:p>
  <w:p w14:paraId="53602923" w14:textId="4FA849CC" w:rsidR="009D495C" w:rsidRDefault="006402C9">
    <w:pPr>
      <w:pStyle w:val="En-tte"/>
      <w:rPr>
        <w:rFonts w:ascii="Arial" w:hAnsi="Arial" w:cs="Arial"/>
        <w:b/>
        <w:bCs/>
        <w:color w:val="00AAE1"/>
        <w:sz w:val="36"/>
        <w:szCs w:val="36"/>
      </w:rPr>
    </w:pPr>
    <w:r>
      <w:rPr>
        <w:rFonts w:ascii="Arial" w:hAnsi="Arial" w:cs="Arial"/>
        <w:b/>
        <w:bCs/>
        <w:color w:val="00AAE1"/>
        <w:sz w:val="36"/>
        <w:szCs w:val="36"/>
      </w:rPr>
      <w:t>Enveloppe pour tableaux généraux et divisionnaires jusqu’à 4000A</w:t>
    </w:r>
  </w:p>
  <w:p w14:paraId="21C25554" w14:textId="1A9B5031" w:rsidR="00661696" w:rsidRPr="00661696" w:rsidRDefault="005334CD">
    <w:pPr>
      <w:pStyle w:val="En-tte"/>
      <w:rPr>
        <w:rFonts w:ascii="Arial" w:hAnsi="Arial" w:cs="Arial"/>
        <w:b/>
        <w:bCs/>
        <w:color w:val="00AAE1"/>
        <w:sz w:val="36"/>
        <w:szCs w:val="36"/>
      </w:rPr>
    </w:pPr>
    <w:r>
      <w:rPr>
        <w:rFonts w:ascii="Arial" w:hAnsi="Arial" w:cs="Arial"/>
        <w:b/>
        <w:bCs/>
        <w:color w:val="00AAE1"/>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0E02"/>
    <w:multiLevelType w:val="hybridMultilevel"/>
    <w:tmpl w:val="F8EC02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D193522"/>
    <w:multiLevelType w:val="hybridMultilevel"/>
    <w:tmpl w:val="697ACBEA"/>
    <w:lvl w:ilvl="0" w:tplc="4A0C30E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9C53D7"/>
    <w:multiLevelType w:val="hybridMultilevel"/>
    <w:tmpl w:val="4D5055CE"/>
    <w:lvl w:ilvl="0" w:tplc="DCF0684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1445373">
    <w:abstractNumId w:val="2"/>
  </w:num>
  <w:num w:numId="2" w16cid:durableId="1956055815">
    <w:abstractNumId w:val="0"/>
  </w:num>
  <w:num w:numId="3" w16cid:durableId="1330327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96"/>
    <w:rsid w:val="0013492A"/>
    <w:rsid w:val="00185515"/>
    <w:rsid w:val="0019489A"/>
    <w:rsid w:val="001D53A9"/>
    <w:rsid w:val="00201FC0"/>
    <w:rsid w:val="00206DAD"/>
    <w:rsid w:val="002A38BD"/>
    <w:rsid w:val="002C4ABE"/>
    <w:rsid w:val="00317218"/>
    <w:rsid w:val="003F20AE"/>
    <w:rsid w:val="00466EC8"/>
    <w:rsid w:val="00472D3F"/>
    <w:rsid w:val="004E3025"/>
    <w:rsid w:val="00510467"/>
    <w:rsid w:val="005334CD"/>
    <w:rsid w:val="005549A7"/>
    <w:rsid w:val="00574C66"/>
    <w:rsid w:val="005E58CA"/>
    <w:rsid w:val="005E7AA5"/>
    <w:rsid w:val="006402C9"/>
    <w:rsid w:val="0065269D"/>
    <w:rsid w:val="00661696"/>
    <w:rsid w:val="0067320B"/>
    <w:rsid w:val="007479E3"/>
    <w:rsid w:val="0077339A"/>
    <w:rsid w:val="007C1736"/>
    <w:rsid w:val="007D5E24"/>
    <w:rsid w:val="0083312F"/>
    <w:rsid w:val="008451C8"/>
    <w:rsid w:val="008C13DF"/>
    <w:rsid w:val="00906D9C"/>
    <w:rsid w:val="009612BB"/>
    <w:rsid w:val="009939D4"/>
    <w:rsid w:val="00995866"/>
    <w:rsid w:val="009C7EF3"/>
    <w:rsid w:val="009D0ABE"/>
    <w:rsid w:val="009D495C"/>
    <w:rsid w:val="009F708F"/>
    <w:rsid w:val="00AB7B25"/>
    <w:rsid w:val="00B13852"/>
    <w:rsid w:val="00B4083E"/>
    <w:rsid w:val="00B92A34"/>
    <w:rsid w:val="00BC4855"/>
    <w:rsid w:val="00C214FD"/>
    <w:rsid w:val="00C34D2A"/>
    <w:rsid w:val="00CD52C8"/>
    <w:rsid w:val="00CF57EF"/>
    <w:rsid w:val="00DA117C"/>
    <w:rsid w:val="00DD4376"/>
    <w:rsid w:val="00E977B7"/>
    <w:rsid w:val="00EB6283"/>
    <w:rsid w:val="00F261D6"/>
    <w:rsid w:val="00FA15B1"/>
    <w:rsid w:val="00FA265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CE6C51"/>
  <w15:chartTrackingRefBased/>
  <w15:docId w15:val="{6D8310F4-F004-4DF5-BAC6-F523CC8A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1696"/>
    <w:pPr>
      <w:tabs>
        <w:tab w:val="center" w:pos="4536"/>
        <w:tab w:val="right" w:pos="9072"/>
      </w:tabs>
      <w:spacing w:after="0" w:line="240" w:lineRule="auto"/>
    </w:pPr>
  </w:style>
  <w:style w:type="character" w:customStyle="1" w:styleId="En-tteCar">
    <w:name w:val="En-tête Car"/>
    <w:basedOn w:val="Policepardfaut"/>
    <w:link w:val="En-tte"/>
    <w:uiPriority w:val="99"/>
    <w:rsid w:val="00661696"/>
  </w:style>
  <w:style w:type="paragraph" w:styleId="Pieddepage">
    <w:name w:val="footer"/>
    <w:basedOn w:val="Normal"/>
    <w:link w:val="PieddepageCar"/>
    <w:uiPriority w:val="99"/>
    <w:unhideWhenUsed/>
    <w:rsid w:val="006616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1696"/>
  </w:style>
  <w:style w:type="table" w:styleId="Grilledutableau">
    <w:name w:val="Table Grid"/>
    <w:basedOn w:val="TableauNormal"/>
    <w:uiPriority w:val="39"/>
    <w:rsid w:val="00661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61696"/>
    <w:pPr>
      <w:ind w:left="720"/>
      <w:contextualSpacing/>
    </w:pPr>
  </w:style>
  <w:style w:type="character" w:styleId="Accentuationlgre">
    <w:name w:val="Subtle Emphasis"/>
    <w:basedOn w:val="Policepardfaut"/>
    <w:uiPriority w:val="19"/>
    <w:qFormat/>
    <w:rsid w:val="00466EC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365DD1CFCF846B0718B0881AED145" ma:contentTypeVersion="9" ma:contentTypeDescription="Crée un document." ma:contentTypeScope="" ma:versionID="cd06ddb2c5927624101e0e7fa03e0fe2">
  <xsd:schema xmlns:xsd="http://www.w3.org/2001/XMLSchema" xmlns:xs="http://www.w3.org/2001/XMLSchema" xmlns:p="http://schemas.microsoft.com/office/2006/metadata/properties" xmlns:ns2="98463a1f-46ed-41b6-a5c4-4a1e062e8378" xmlns:ns3="3d934e1d-dceb-4e14-a6af-7e9adfa2c841" targetNamespace="http://schemas.microsoft.com/office/2006/metadata/properties" ma:root="true" ma:fieldsID="c7331eba2c5b02dc65c7245795485b89" ns2:_="" ns3:_="">
    <xsd:import namespace="98463a1f-46ed-41b6-a5c4-4a1e062e8378"/>
    <xsd:import namespace="3d934e1d-dceb-4e14-a6af-7e9adfa2c8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63a1f-46ed-41b6-a5c4-4a1e062e8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934e1d-dceb-4e14-a6af-7e9adfa2c841"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24CD2-0677-4D59-A417-C829F51F89F1}"/>
</file>

<file path=customXml/itemProps2.xml><?xml version="1.0" encoding="utf-8"?>
<ds:datastoreItem xmlns:ds="http://schemas.openxmlformats.org/officeDocument/2006/customXml" ds:itemID="{14C11170-3FE2-41B4-AFA9-E42DF0BA94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8C855B-686E-47F9-B6D6-EB9E54772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1835</Words>
  <Characters>10096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Hager</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DONJON Emeline</dc:creator>
  <cp:keywords/>
  <dc:description/>
  <cp:lastModifiedBy>BARAD Romain</cp:lastModifiedBy>
  <cp:revision>28</cp:revision>
  <dcterms:created xsi:type="dcterms:W3CDTF">2021-02-11T08:14:00Z</dcterms:created>
  <dcterms:modified xsi:type="dcterms:W3CDTF">2024-02-13T09:13:00Z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0x010100147365DD1CFCF846B0718B0881AED145</vt:lpwstr>
  </property>
</Properties>
</file>